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663C4" w14:textId="3C4DCE5E" w:rsidR="00804DE6" w:rsidRPr="00AA4674" w:rsidRDefault="00AA4674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14C7D415" wp14:editId="59576782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929612" cy="2581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68" cy="25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79968" w14:textId="478CC3D7" w:rsidR="00E15AD3" w:rsidRPr="00AA4674" w:rsidRDefault="00E15AD3" w:rsidP="00E15AD3">
      <w:pPr>
        <w:jc w:val="both"/>
        <w:rPr>
          <w:rFonts w:ascii="Century Gothic" w:hAnsi="Century Gothic"/>
        </w:rPr>
      </w:pPr>
    </w:p>
    <w:p w14:paraId="28C61266" w14:textId="72BF4E1D" w:rsidR="00E15AD3" w:rsidRPr="00AA4674" w:rsidRDefault="00E15AD3" w:rsidP="00E15AD3">
      <w:pPr>
        <w:jc w:val="both"/>
        <w:rPr>
          <w:rFonts w:ascii="Century Gothic" w:hAnsi="Century Gothic"/>
        </w:rPr>
      </w:pPr>
    </w:p>
    <w:p w14:paraId="4D1F4BED" w14:textId="4DE2655F" w:rsidR="00E15AD3" w:rsidRPr="00AA4674" w:rsidRDefault="00E15AD3" w:rsidP="00E15AD3">
      <w:pPr>
        <w:jc w:val="both"/>
        <w:rPr>
          <w:rFonts w:ascii="Century Gothic" w:hAnsi="Century Gothic"/>
        </w:rPr>
      </w:pPr>
    </w:p>
    <w:p w14:paraId="4592DF98" w14:textId="117B252C" w:rsidR="00E15AD3" w:rsidRPr="00AA4674" w:rsidRDefault="00E15AD3" w:rsidP="00E15AD3">
      <w:pPr>
        <w:jc w:val="both"/>
        <w:rPr>
          <w:rFonts w:ascii="Century Gothic" w:hAnsi="Century Gothic"/>
        </w:rPr>
      </w:pPr>
    </w:p>
    <w:p w14:paraId="304DCB76" w14:textId="33832B02" w:rsidR="00E15AD3" w:rsidRPr="00AA4674" w:rsidRDefault="00E15AD3" w:rsidP="00E15AD3">
      <w:pPr>
        <w:jc w:val="both"/>
        <w:rPr>
          <w:rFonts w:ascii="Century Gothic" w:hAnsi="Century Gothic"/>
        </w:rPr>
      </w:pPr>
    </w:p>
    <w:p w14:paraId="29F0F697" w14:textId="77777777" w:rsidR="00A90167" w:rsidRPr="00AA4674" w:rsidRDefault="00A90167" w:rsidP="00E15AD3">
      <w:pPr>
        <w:jc w:val="center"/>
        <w:rPr>
          <w:rFonts w:ascii="Century Gothic" w:hAnsi="Century Gothic"/>
        </w:rPr>
      </w:pPr>
    </w:p>
    <w:p w14:paraId="1D285CF9" w14:textId="092AD041" w:rsidR="00E15AD3" w:rsidRPr="00AA4674" w:rsidRDefault="00E15AD3" w:rsidP="00E15AD3">
      <w:pPr>
        <w:jc w:val="center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EGIPTO</w:t>
      </w:r>
    </w:p>
    <w:p w14:paraId="30838357" w14:textId="27DB4F67" w:rsidR="00E15AD3" w:rsidRPr="00AA4674" w:rsidRDefault="00E15AD3" w:rsidP="008770A0">
      <w:pPr>
        <w:jc w:val="center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CAIRO – LUXOR – CRUCERO POR EL NILO</w:t>
      </w:r>
      <w:bookmarkStart w:id="0" w:name="m_-6808648083494750610__Hlk210038937"/>
      <w:bookmarkStart w:id="1" w:name="m_-6808648083494750610__Hlk210038664"/>
      <w:bookmarkEnd w:id="0"/>
      <w:bookmarkEnd w:id="1"/>
    </w:p>
    <w:p w14:paraId="40527400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bookmarkStart w:id="2" w:name="m_-6808648083494750610__Hlk210223564"/>
      <w:r w:rsidRPr="00AA4674">
        <w:rPr>
          <w:rFonts w:ascii="Century Gothic" w:hAnsi="Century Gothic"/>
          <w:b/>
        </w:rPr>
        <w:t>DIA 01 MEXICO CAIRO </w:t>
      </w:r>
      <w:bookmarkEnd w:id="2"/>
      <w:r w:rsidRPr="00AA4674">
        <w:rPr>
          <w:rFonts w:ascii="Century Gothic" w:hAnsi="Century Gothic"/>
          <w:b/>
        </w:rPr>
        <w:t>                                              </w:t>
      </w:r>
    </w:p>
    <w:p w14:paraId="4E49B0A4" w14:textId="773572BF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Salida en vuelo desde la CDMX. Vuelo nocturno</w:t>
      </w:r>
    </w:p>
    <w:p w14:paraId="2FC5BE64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DIA 02 CAIRO. </w:t>
      </w:r>
    </w:p>
    <w:p w14:paraId="54C48E97" w14:textId="43B78F1F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Llegada al Aeropuerto del Cairo, Después del trámite de inmigración y aduana, un asistente de habla Hispana lo recibirá y lo acompañará al Hotel. Resto del día Libre. Alojamiento en hotel.</w:t>
      </w:r>
    </w:p>
    <w:p w14:paraId="139F1019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DÍA 03 CAIRO – LAS PIRÁMIDES Y LA GRAN ESFINGE</w:t>
      </w:r>
    </w:p>
    <w:p w14:paraId="58394F5F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Desayuno. Hoy nos adentraremos en el corazón histórico y cultural del antiguo Egipto. Visitaremos las mundialmente famosas y encantadoras Pirámides de Keops, Kefrén y </w:t>
      </w:r>
      <w:proofErr w:type="spellStart"/>
      <w:r w:rsidRPr="00AA4674">
        <w:rPr>
          <w:rFonts w:ascii="Century Gothic" w:hAnsi="Century Gothic"/>
        </w:rPr>
        <w:t>Micerinos</w:t>
      </w:r>
      <w:proofErr w:type="spellEnd"/>
      <w:r w:rsidRPr="00AA4674">
        <w:rPr>
          <w:rFonts w:ascii="Century Gothic" w:hAnsi="Century Gothic"/>
        </w:rPr>
        <w:t xml:space="preserve"> en </w:t>
      </w:r>
      <w:proofErr w:type="spellStart"/>
      <w:r w:rsidRPr="00AA4674">
        <w:rPr>
          <w:rFonts w:ascii="Century Gothic" w:hAnsi="Century Gothic"/>
        </w:rPr>
        <w:t>Giza</w:t>
      </w:r>
      <w:proofErr w:type="spellEnd"/>
      <w:r w:rsidRPr="00AA4674">
        <w:rPr>
          <w:rFonts w:ascii="Century Gothic" w:hAnsi="Century Gothic"/>
        </w:rPr>
        <w:t>. Construidas desde hace más de 4.500 años. A continuación, visita a la majestuosa Gran Esfinge, con su enigmático rostro de faraón y cuerpo de león y el Templo del Valle, perteneciente al complejo funerario de Kefrén. Regreso al hotel y alojamiento.</w:t>
      </w:r>
    </w:p>
    <w:p w14:paraId="39EE9309" w14:textId="77777777" w:rsid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EXCURSIÓN OPCIONAL: Visita a la necrópolis de </w:t>
      </w:r>
      <w:proofErr w:type="spellStart"/>
      <w:r w:rsidRPr="00AA4674">
        <w:rPr>
          <w:rFonts w:ascii="Century Gothic" w:hAnsi="Century Gothic"/>
        </w:rPr>
        <w:t>Saqqara</w:t>
      </w:r>
      <w:proofErr w:type="spellEnd"/>
      <w:r w:rsidRPr="00AA4674">
        <w:rPr>
          <w:rFonts w:ascii="Century Gothic" w:hAnsi="Century Gothic"/>
        </w:rPr>
        <w:t xml:space="preserve">. Conocer la célebre Pirámide Escalonada del rey </w:t>
      </w:r>
      <w:proofErr w:type="spellStart"/>
      <w:r w:rsidRPr="00AA4674">
        <w:rPr>
          <w:rFonts w:ascii="Century Gothic" w:hAnsi="Century Gothic"/>
        </w:rPr>
        <w:t>Zoser</w:t>
      </w:r>
      <w:proofErr w:type="spellEnd"/>
      <w:r w:rsidRPr="00AA4674">
        <w:rPr>
          <w:rFonts w:ascii="Century Gothic" w:hAnsi="Century Gothic"/>
        </w:rPr>
        <w:t>, considerada la primera pirámide del mundo. Incluye almuerzo en un restaurante local de alta calidad.</w:t>
      </w:r>
    </w:p>
    <w:p w14:paraId="7DA71D73" w14:textId="6A00C0BA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 </w:t>
      </w:r>
    </w:p>
    <w:p w14:paraId="0F21D312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DÍA 04 CAIRO – LUXOR – EL TEMPLO DE KARNAK – TEMPLO DE LUXOR</w:t>
      </w:r>
    </w:p>
    <w:p w14:paraId="1FAB0A9F" w14:textId="735E649D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Desayuno. A la hora indicada salida hacia el aeropuerto para tomar el vuelo con destino al Luxor. Llegada a Luxor Traslado en vehículo privado con aire acondicionado al Crucero por el Nilo. Donde te recibirán y trasladarán para</w:t>
      </w:r>
      <w:r w:rsidR="00AA4674">
        <w:rPr>
          <w:rFonts w:ascii="Century Gothic" w:hAnsi="Century Gothic"/>
        </w:rPr>
        <w:t xml:space="preserve"> </w:t>
      </w:r>
      <w:r w:rsidRPr="00AA4674">
        <w:rPr>
          <w:rFonts w:ascii="Century Gothic" w:hAnsi="Century Gothic"/>
        </w:rPr>
        <w:t xml:space="preserve">embarcar en un crucero de lujo de 5 estrellas por el Nilo. Pensión completa. Salida para visitar El Templo de Karnak erigido en honor al dios Amón y principal recinto de culto en Egipto desde las dinastías que conformaron el Imperio Nuevo y que cuenta, entre otros, con una magnífica sala hipóstila de 23 metros de altura que </w:t>
      </w:r>
      <w:r w:rsidRPr="00AA4674">
        <w:rPr>
          <w:rFonts w:ascii="Century Gothic" w:hAnsi="Century Gothic"/>
        </w:rPr>
        <w:lastRenderedPageBreak/>
        <w:t>alberga en su recinto nada menos que 134 columnas y el Templo de Luxor, más pequeño que el de Karnak y comunicado con éste por 6 una impresionante avenida de esfinges con cabeza de carnero, más conocida como la Avenida de las esfinges. Regreso al Crucero. Noche a bordo.</w:t>
      </w:r>
    </w:p>
    <w:p w14:paraId="7FC32843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 </w:t>
      </w:r>
    </w:p>
    <w:p w14:paraId="7CEC7C83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Día 05 LUXOR - ESNA - EDFU</w:t>
      </w:r>
    </w:p>
    <w:p w14:paraId="17719644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Pensión completa. Desayuno. Salida para Visitar: el Valle de los Reyes, declarado por la Unesco Patrimonio de la Humanidad y que alberga la mayoría de las tumbas de los faraones del Imperio Nuevo. El Templo de la Reina </w:t>
      </w:r>
      <w:proofErr w:type="spellStart"/>
      <w:r w:rsidRPr="00AA4674">
        <w:rPr>
          <w:rFonts w:ascii="Century Gothic" w:hAnsi="Century Gothic"/>
        </w:rPr>
        <w:t>Hatshepsut</w:t>
      </w:r>
      <w:proofErr w:type="spellEnd"/>
      <w:r w:rsidRPr="00AA4674">
        <w:rPr>
          <w:rFonts w:ascii="Century Gothic" w:hAnsi="Century Gothic"/>
        </w:rPr>
        <w:t xml:space="preserve">, que fue la primera mujer en ocupar la posición de faraón; el templo, situado en </w:t>
      </w:r>
      <w:proofErr w:type="spellStart"/>
      <w:r w:rsidRPr="00AA4674">
        <w:rPr>
          <w:rFonts w:ascii="Century Gothic" w:hAnsi="Century Gothic"/>
        </w:rPr>
        <w:t>Deir</w:t>
      </w:r>
      <w:proofErr w:type="spellEnd"/>
      <w:r w:rsidRPr="00AA4674">
        <w:rPr>
          <w:rFonts w:ascii="Century Gothic" w:hAnsi="Century Gothic"/>
        </w:rPr>
        <w:t xml:space="preserve"> El </w:t>
      </w:r>
      <w:proofErr w:type="spellStart"/>
      <w:r w:rsidRPr="00AA4674">
        <w:rPr>
          <w:rFonts w:ascii="Century Gothic" w:hAnsi="Century Gothic"/>
        </w:rPr>
        <w:t>Bahari</w:t>
      </w:r>
      <w:proofErr w:type="spellEnd"/>
      <w:r w:rsidRPr="00AA4674">
        <w:rPr>
          <w:rFonts w:ascii="Century Gothic" w:hAnsi="Century Gothic"/>
        </w:rPr>
        <w:t xml:space="preserve">, es uno de los pocos templos construidos directamente en la roca y consta de varias terrazas que ejercían como vestíbulos para albergar a multitud de personas durante las festividades religiosas. Los Colosos de </w:t>
      </w:r>
      <w:proofErr w:type="spellStart"/>
      <w:r w:rsidRPr="00AA4674">
        <w:rPr>
          <w:rFonts w:ascii="Century Gothic" w:hAnsi="Century Gothic"/>
        </w:rPr>
        <w:t>Memnon</w:t>
      </w:r>
      <w:proofErr w:type="spellEnd"/>
      <w:r w:rsidRPr="00AA4674">
        <w:rPr>
          <w:rFonts w:ascii="Century Gothic" w:hAnsi="Century Gothic"/>
        </w:rPr>
        <w:t xml:space="preserve">, gigantescas estatuas que representan al faraón </w:t>
      </w:r>
      <w:proofErr w:type="spellStart"/>
      <w:r w:rsidRPr="00AA4674">
        <w:rPr>
          <w:rFonts w:ascii="Century Gothic" w:hAnsi="Century Gothic"/>
        </w:rPr>
        <w:t>Amenhotep</w:t>
      </w:r>
      <w:proofErr w:type="spellEnd"/>
      <w:r w:rsidRPr="00AA4674">
        <w:rPr>
          <w:rFonts w:ascii="Century Gothic" w:hAnsi="Century Gothic"/>
        </w:rPr>
        <w:t xml:space="preserve"> III y que permanecen en posición sedente desde hace más de 3.500 años. Regreso al Crucero. Navegación hacia </w:t>
      </w:r>
      <w:proofErr w:type="spellStart"/>
      <w:r w:rsidRPr="00AA4674">
        <w:rPr>
          <w:rFonts w:ascii="Century Gothic" w:hAnsi="Century Gothic"/>
        </w:rPr>
        <w:t>Edfú</w:t>
      </w:r>
      <w:proofErr w:type="spellEnd"/>
      <w:r w:rsidRPr="00AA4674">
        <w:rPr>
          <w:rFonts w:ascii="Century Gothic" w:hAnsi="Century Gothic"/>
        </w:rPr>
        <w:t>. Noche a bordo.</w:t>
      </w:r>
    </w:p>
    <w:p w14:paraId="7B9E7F19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 </w:t>
      </w:r>
    </w:p>
    <w:p w14:paraId="0A7EDE77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Día 06 EDFU - KOM OMBO - ASWAN</w:t>
      </w:r>
    </w:p>
    <w:p w14:paraId="2C514BFC" w14:textId="4407E853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Pensión completa. Desayuno. Salida para realizar la visita al Templo de </w:t>
      </w:r>
      <w:proofErr w:type="spellStart"/>
      <w:r w:rsidRPr="00AA4674">
        <w:rPr>
          <w:rFonts w:ascii="Century Gothic" w:hAnsi="Century Gothic"/>
        </w:rPr>
        <w:t>Edfú</w:t>
      </w:r>
      <w:proofErr w:type="spellEnd"/>
      <w:r w:rsidRPr="00AA4674">
        <w:rPr>
          <w:rFonts w:ascii="Century Gothic" w:hAnsi="Century Gothic"/>
        </w:rPr>
        <w:t xml:space="preserve">, erigido en honor del dios Horus con cabeza de halcón. El templo, situado en la orilla occidental del río Nilo es uno de los más grandes de Egipto y el mejor conservado hasta el momento. Las inscripciones en sus paredes proporcionan información importante sobre el lenguaje, la mitología y la religión durante el periodo grecorromano. Regreso a la motonave y navegación. Llegada a </w:t>
      </w:r>
      <w:proofErr w:type="spellStart"/>
      <w:r w:rsidRPr="00AA4674">
        <w:rPr>
          <w:rFonts w:ascii="Century Gothic" w:hAnsi="Century Gothic"/>
        </w:rPr>
        <w:t>Kom</w:t>
      </w:r>
      <w:proofErr w:type="spellEnd"/>
      <w:r w:rsidRPr="00AA4674">
        <w:rPr>
          <w:rFonts w:ascii="Century Gothic" w:hAnsi="Century Gothic"/>
        </w:rPr>
        <w:t xml:space="preserve"> </w:t>
      </w:r>
      <w:proofErr w:type="spellStart"/>
      <w:r w:rsidRPr="00AA4674">
        <w:rPr>
          <w:rFonts w:ascii="Century Gothic" w:hAnsi="Century Gothic"/>
        </w:rPr>
        <w:t>Ombo</w:t>
      </w:r>
      <w:proofErr w:type="spellEnd"/>
      <w:r w:rsidRPr="00AA4674">
        <w:rPr>
          <w:rFonts w:ascii="Century Gothic" w:hAnsi="Century Gothic"/>
        </w:rPr>
        <w:t xml:space="preserve"> y salida para realizar la visita del único templo en Egipto dedicado simultáneamente a dos dioses, el dios Sobek con cabeza de cocodrilo y el dios </w:t>
      </w:r>
      <w:proofErr w:type="spellStart"/>
      <w:r w:rsidRPr="00AA4674">
        <w:rPr>
          <w:rFonts w:ascii="Century Gothic" w:hAnsi="Century Gothic"/>
        </w:rPr>
        <w:t>Haroeris</w:t>
      </w:r>
      <w:proofErr w:type="spellEnd"/>
      <w:r w:rsidRPr="00AA4674">
        <w:rPr>
          <w:rFonts w:ascii="Century Gothic" w:hAnsi="Century Gothic"/>
        </w:rPr>
        <w:t xml:space="preserve"> con cabeza de halcón. Regreso al Crucero. Navegación y Noche a bordo.</w:t>
      </w:r>
    </w:p>
    <w:p w14:paraId="7167B4AF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Día 07 - ASWAN</w:t>
      </w:r>
    </w:p>
    <w:p w14:paraId="328B837A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Pensión completa. Desayuno. Salida para realizar la visita del Templo de </w:t>
      </w:r>
      <w:proofErr w:type="spellStart"/>
      <w:r w:rsidRPr="00AA4674">
        <w:rPr>
          <w:rFonts w:ascii="Century Gothic" w:hAnsi="Century Gothic"/>
        </w:rPr>
        <w:t>Philae</w:t>
      </w:r>
      <w:proofErr w:type="spellEnd"/>
      <w:r w:rsidRPr="00AA4674">
        <w:rPr>
          <w:rFonts w:ascii="Century Gothic" w:hAnsi="Century Gothic"/>
        </w:rPr>
        <w:t xml:space="preserve">, construido en honor de la diosa Isis y considerado la joya del Nilo. Por la tarde, realizaremos un paseo en </w:t>
      </w:r>
      <w:proofErr w:type="spellStart"/>
      <w:r w:rsidRPr="00AA4674">
        <w:rPr>
          <w:rFonts w:ascii="Century Gothic" w:hAnsi="Century Gothic"/>
        </w:rPr>
        <w:t>faluca</w:t>
      </w:r>
      <w:proofErr w:type="spellEnd"/>
      <w:r w:rsidRPr="00AA4674">
        <w:rPr>
          <w:rFonts w:ascii="Century Gothic" w:hAnsi="Century Gothic"/>
        </w:rPr>
        <w:t xml:space="preserve"> o motora por el Nilo. (En caso de que por falta de tiempo no pueda realizarse en </w:t>
      </w:r>
      <w:proofErr w:type="spellStart"/>
      <w:r w:rsidRPr="00AA4674">
        <w:rPr>
          <w:rFonts w:ascii="Century Gothic" w:hAnsi="Century Gothic"/>
        </w:rPr>
        <w:t>Aswan</w:t>
      </w:r>
      <w:proofErr w:type="spellEnd"/>
      <w:r w:rsidRPr="00AA4674">
        <w:rPr>
          <w:rFonts w:ascii="Century Gothic" w:hAnsi="Century Gothic"/>
        </w:rPr>
        <w:t>, el paseo se realizará en El Cairo o en Luxor). Regreso al Crucero. Navegación y Noche a bordo.</w:t>
      </w:r>
    </w:p>
    <w:p w14:paraId="00DD2980" w14:textId="7E688DB8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 </w:t>
      </w:r>
      <w:r w:rsidRPr="00AA4674">
        <w:rPr>
          <w:rFonts w:ascii="Century Gothic" w:hAnsi="Century Gothic"/>
          <w:b/>
        </w:rPr>
        <w:t>EXCURSION OPCIONAL:</w:t>
      </w:r>
      <w:r w:rsidRPr="00AA4674">
        <w:rPr>
          <w:rFonts w:ascii="Century Gothic" w:hAnsi="Century Gothic"/>
        </w:rPr>
        <w:t xml:space="preserve"> Posibilidad de realizar por carretera la visita opcional a los majestuosos Templos de Abu Simbel. El templo de Abu Simbel, junto con el templo de Nefertari forma el complejo de Abu Simbel, y fue mandado erigir por el Faraón Ramsés II, uno en su propio honor y otro en el de su esposa. Son uno de los seis templos edificados en roca 7 en la zona nubia y tuvieron que ser trasladados de su emplazamiento original tras la construcción de la gran presa de </w:t>
      </w:r>
      <w:proofErr w:type="spellStart"/>
      <w:r w:rsidRPr="00AA4674">
        <w:rPr>
          <w:rFonts w:ascii="Century Gothic" w:hAnsi="Century Gothic"/>
        </w:rPr>
        <w:t>Aswan</w:t>
      </w:r>
      <w:proofErr w:type="spellEnd"/>
      <w:r w:rsidRPr="00AA4674">
        <w:rPr>
          <w:rFonts w:ascii="Century Gothic" w:hAnsi="Century Gothic"/>
        </w:rPr>
        <w:t>.</w:t>
      </w:r>
    </w:p>
    <w:p w14:paraId="3F8DD151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lastRenderedPageBreak/>
        <w:t> </w:t>
      </w:r>
    </w:p>
    <w:p w14:paraId="3EA3E4A6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DÍA 08 - ASWAN - EL CAIRO:</w:t>
      </w:r>
    </w:p>
    <w:p w14:paraId="3087798A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Desayuno y día libre. A la hora prevista desembarque y traslado al aeropuerto para volar con destino a El Cairo. Recepción y traslado al hotel y alojamiento.</w:t>
      </w:r>
    </w:p>
    <w:p w14:paraId="584E76AD" w14:textId="77777777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 </w:t>
      </w:r>
    </w:p>
    <w:p w14:paraId="076ACB05" w14:textId="1E8C1F9D" w:rsidR="00E15AD3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  <w:b/>
        </w:rPr>
        <w:t>EXCURSION OPCIONAL:</w:t>
      </w:r>
      <w:r w:rsidRPr="00AA4674">
        <w:rPr>
          <w:rFonts w:ascii="Century Gothic" w:hAnsi="Century Gothic"/>
        </w:rPr>
        <w:t xml:space="preserve"> Salida para visitar el Barrio Copto donde se encuentra la Iglesia de Santa María la Virgen, más conocida como la Iglesia Colgante, la Iglesia de San Jorge y la Iglesia de San Sergio. Continuación en el Museo de Arte Egipcio, que alberga numerosas estatuas, pinturas, relieves, elementos funerarios y otros muchos objetos de la época de los Faraones; la Mezquita de Mohamed Ali </w:t>
      </w:r>
      <w:proofErr w:type="spellStart"/>
      <w:r w:rsidRPr="00AA4674">
        <w:rPr>
          <w:rFonts w:ascii="Century Gothic" w:hAnsi="Century Gothic"/>
        </w:rPr>
        <w:t>Pasha</w:t>
      </w:r>
      <w:proofErr w:type="spellEnd"/>
      <w:r w:rsidRPr="00AA4674">
        <w:rPr>
          <w:rFonts w:ascii="Century Gothic" w:hAnsi="Century Gothic"/>
        </w:rPr>
        <w:t xml:space="preserve">, más conocida como la Mezquita de Alabastro, la Ciudadela de </w:t>
      </w:r>
      <w:proofErr w:type="spellStart"/>
      <w:r w:rsidRPr="00AA4674">
        <w:rPr>
          <w:rFonts w:ascii="Century Gothic" w:hAnsi="Century Gothic"/>
        </w:rPr>
        <w:t>Salah</w:t>
      </w:r>
      <w:proofErr w:type="spellEnd"/>
      <w:r w:rsidRPr="00AA4674">
        <w:rPr>
          <w:rFonts w:ascii="Century Gothic" w:hAnsi="Century Gothic"/>
        </w:rPr>
        <w:t xml:space="preserve"> El </w:t>
      </w:r>
      <w:proofErr w:type="spellStart"/>
      <w:r w:rsidRPr="00AA4674">
        <w:rPr>
          <w:rFonts w:ascii="Century Gothic" w:hAnsi="Century Gothic"/>
        </w:rPr>
        <w:t>Adin</w:t>
      </w:r>
      <w:proofErr w:type="spellEnd"/>
      <w:r w:rsidRPr="00AA4674">
        <w:rPr>
          <w:rFonts w:ascii="Century Gothic" w:hAnsi="Century Gothic"/>
        </w:rPr>
        <w:t xml:space="preserve"> (Saladino, quien fuera Sultán de Egipto), declarada Patrimonio de la Humanidad y el Gran Bazar de Khan el </w:t>
      </w:r>
      <w:proofErr w:type="spellStart"/>
      <w:r w:rsidRPr="00AA4674">
        <w:rPr>
          <w:rFonts w:ascii="Century Gothic" w:hAnsi="Century Gothic"/>
        </w:rPr>
        <w:t>Khalili</w:t>
      </w:r>
      <w:proofErr w:type="spellEnd"/>
      <w:r w:rsidRPr="00AA4674">
        <w:rPr>
          <w:rFonts w:ascii="Century Gothic" w:hAnsi="Century Gothic"/>
        </w:rPr>
        <w:t xml:space="preserve"> donde podremos callejear para realizar compras o tomar unté en un café de la zona. Traslado al hotel y alojamiento.</w:t>
      </w:r>
    </w:p>
    <w:p w14:paraId="7988E36E" w14:textId="77777777" w:rsidR="00E15AD3" w:rsidRPr="00AA4674" w:rsidRDefault="00E15AD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Día 09 - EL CAIRO – MEXICO</w:t>
      </w:r>
    </w:p>
    <w:p w14:paraId="0BEF0E8A" w14:textId="760FDA03" w:rsidR="00804DE6" w:rsidRPr="00AA4674" w:rsidRDefault="00E15AD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Desayuno en el Hotel. A la hora indicada traslado al aeropuerto. Fin de nuestros servicios.</w:t>
      </w:r>
    </w:p>
    <w:p w14:paraId="69A726EC" w14:textId="77777777" w:rsidR="00AA4674" w:rsidRPr="00AA4674" w:rsidRDefault="00AA4674" w:rsidP="00E15AD3">
      <w:pPr>
        <w:rPr>
          <w:rFonts w:ascii="Century Gothic" w:hAnsi="Century Gothic"/>
        </w:rPr>
      </w:pPr>
    </w:p>
    <w:p w14:paraId="417EBF4F" w14:textId="77777777" w:rsidR="00E15AD3" w:rsidRPr="00AA4674" w:rsidRDefault="00E15AD3" w:rsidP="00E15AD3">
      <w:pPr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Programa incluye</w:t>
      </w:r>
    </w:p>
    <w:p w14:paraId="367E1CC1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Boleto Aéreo CDMX – CAI – CDMX</w:t>
      </w:r>
    </w:p>
    <w:p w14:paraId="1F21F6E6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equipaje documentado (23k)</w:t>
      </w:r>
    </w:p>
    <w:p w14:paraId="7509A6C6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03 noches en alojamiento y </w:t>
      </w:r>
      <w:proofErr w:type="gramStart"/>
      <w:r w:rsidRPr="00AA4674">
        <w:rPr>
          <w:rFonts w:ascii="Century Gothic" w:hAnsi="Century Gothic"/>
        </w:rPr>
        <w:t>desayuno  en</w:t>
      </w:r>
      <w:proofErr w:type="gramEnd"/>
      <w:r w:rsidRPr="00AA4674">
        <w:rPr>
          <w:rFonts w:ascii="Century Gothic" w:hAnsi="Century Gothic"/>
        </w:rPr>
        <w:t>  Cairo</w:t>
      </w:r>
    </w:p>
    <w:p w14:paraId="0E4FF63D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04 noches Crucero por el Nilo de 5 días/4 noches con Pensión Completa</w:t>
      </w:r>
    </w:p>
    <w:p w14:paraId="2CA642D3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Guía local de habla hispana</w:t>
      </w:r>
    </w:p>
    <w:p w14:paraId="015E6921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Guía acorde al idioma deseado</w:t>
      </w:r>
    </w:p>
    <w:p w14:paraId="1DF3CD9D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Las Habitaciones en los hoteles son categoría Standard </w:t>
      </w:r>
      <w:proofErr w:type="spellStart"/>
      <w:r w:rsidRPr="00AA4674">
        <w:rPr>
          <w:rFonts w:ascii="Century Gothic" w:hAnsi="Century Gothic"/>
        </w:rPr>
        <w:t>Room</w:t>
      </w:r>
      <w:proofErr w:type="spellEnd"/>
    </w:p>
    <w:p w14:paraId="2D23C379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El itinerario puede cambiar sin dejar de recibir ninguna visita (según las fechas del crucero)</w:t>
      </w:r>
    </w:p>
    <w:p w14:paraId="500ECA37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Desayuno buffet en El Cairo</w:t>
      </w:r>
    </w:p>
    <w:p w14:paraId="62708C96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Visitas ciudad de El Cairo</w:t>
      </w:r>
    </w:p>
    <w:p w14:paraId="12CE4E88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las Pirámides de </w:t>
      </w:r>
      <w:proofErr w:type="spellStart"/>
      <w:r w:rsidRPr="00AA4674">
        <w:rPr>
          <w:rFonts w:ascii="Century Gothic" w:hAnsi="Century Gothic"/>
        </w:rPr>
        <w:t>Giza</w:t>
      </w:r>
      <w:proofErr w:type="spellEnd"/>
      <w:r w:rsidRPr="00AA4674">
        <w:rPr>
          <w:rFonts w:ascii="Century Gothic" w:hAnsi="Century Gothic"/>
        </w:rPr>
        <w:t>, la Esfinge y el templo del Valle</w:t>
      </w:r>
    </w:p>
    <w:p w14:paraId="0FA76A70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Visado de entrada a Egipto</w:t>
      </w:r>
    </w:p>
    <w:p w14:paraId="24AAF28D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Vuelo interno El Cairo – Luxor // </w:t>
      </w:r>
      <w:proofErr w:type="spellStart"/>
      <w:r w:rsidRPr="00AA4674">
        <w:rPr>
          <w:rFonts w:ascii="Century Gothic" w:hAnsi="Century Gothic"/>
        </w:rPr>
        <w:t>Aswan</w:t>
      </w:r>
      <w:proofErr w:type="spellEnd"/>
      <w:r w:rsidRPr="00AA4674">
        <w:rPr>
          <w:rFonts w:ascii="Century Gothic" w:hAnsi="Century Gothic"/>
        </w:rPr>
        <w:t xml:space="preserve"> – Cairo</w:t>
      </w:r>
    </w:p>
    <w:p w14:paraId="4D27D6FA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proofErr w:type="gramStart"/>
      <w:r w:rsidRPr="00AA4674">
        <w:rPr>
          <w:rFonts w:ascii="Century Gothic" w:hAnsi="Century Gothic"/>
        </w:rPr>
        <w:t>Toda las propinas</w:t>
      </w:r>
      <w:proofErr w:type="gramEnd"/>
      <w:r w:rsidRPr="00AA4674">
        <w:rPr>
          <w:rFonts w:ascii="Century Gothic" w:hAnsi="Century Gothic"/>
        </w:rPr>
        <w:t xml:space="preserve"> por persona</w:t>
      </w:r>
    </w:p>
    <w:p w14:paraId="0C6F00CD" w14:textId="77777777" w:rsidR="00E15AD3" w:rsidRPr="00AA4674" w:rsidRDefault="00E15AD3" w:rsidP="00E15AD3">
      <w:pPr>
        <w:pStyle w:val="Prrafodelista"/>
        <w:numPr>
          <w:ilvl w:val="0"/>
          <w:numId w:val="31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Tarjeta de asistencia </w:t>
      </w:r>
      <w:proofErr w:type="spellStart"/>
      <w:r w:rsidRPr="00AA4674">
        <w:rPr>
          <w:rFonts w:ascii="Century Gothic" w:hAnsi="Century Gothic"/>
        </w:rPr>
        <w:t>medica</w:t>
      </w:r>
      <w:proofErr w:type="spellEnd"/>
      <w:r w:rsidRPr="00AA4674">
        <w:rPr>
          <w:rFonts w:ascii="Century Gothic" w:hAnsi="Century Gothic"/>
        </w:rPr>
        <w:t xml:space="preserve"> con cobertura de USD 60.000 por accidente y enfermedad</w:t>
      </w:r>
    </w:p>
    <w:p w14:paraId="2B7D1EEC" w14:textId="3E3217BF" w:rsidR="00A90167" w:rsidRDefault="00E15AD3" w:rsidP="00E15AD3">
      <w:pPr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 </w:t>
      </w:r>
    </w:p>
    <w:p w14:paraId="22C5C41E" w14:textId="77777777" w:rsidR="00AA4674" w:rsidRPr="00AA4674" w:rsidRDefault="00AA4674" w:rsidP="00E15AD3">
      <w:pPr>
        <w:rPr>
          <w:rFonts w:ascii="Century Gothic" w:hAnsi="Century Gothic"/>
          <w:b/>
        </w:rPr>
      </w:pPr>
    </w:p>
    <w:p w14:paraId="230E4ECB" w14:textId="77777777" w:rsidR="00E15AD3" w:rsidRPr="00AA4674" w:rsidRDefault="00E15AD3" w:rsidP="00E15AD3">
      <w:pPr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lastRenderedPageBreak/>
        <w:t>Visitas del crucero:</w:t>
      </w:r>
    </w:p>
    <w:p w14:paraId="76F19763" w14:textId="77777777" w:rsidR="00E15AD3" w:rsidRPr="00AA4674" w:rsidRDefault="00E15AD3" w:rsidP="00E15AD3">
      <w:pPr>
        <w:pStyle w:val="Prrafodelista"/>
        <w:numPr>
          <w:ilvl w:val="0"/>
          <w:numId w:val="32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Visita al templo de Luxor Y Karnak</w:t>
      </w:r>
    </w:p>
    <w:p w14:paraId="2D49A268" w14:textId="77777777" w:rsidR="00E15AD3" w:rsidRPr="00AA4674" w:rsidRDefault="00E15AD3" w:rsidP="00E15AD3">
      <w:pPr>
        <w:pStyle w:val="Prrafodelista"/>
        <w:numPr>
          <w:ilvl w:val="0"/>
          <w:numId w:val="32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Visita al Valle de los Reyes, los colosos de </w:t>
      </w:r>
      <w:proofErr w:type="spellStart"/>
      <w:r w:rsidRPr="00AA4674">
        <w:rPr>
          <w:rFonts w:ascii="Century Gothic" w:hAnsi="Century Gothic"/>
        </w:rPr>
        <w:t>Memnon</w:t>
      </w:r>
      <w:proofErr w:type="spellEnd"/>
      <w:r w:rsidRPr="00AA4674">
        <w:rPr>
          <w:rFonts w:ascii="Century Gothic" w:hAnsi="Century Gothic"/>
        </w:rPr>
        <w:t xml:space="preserve">, templo de la Reina </w:t>
      </w:r>
      <w:proofErr w:type="spellStart"/>
      <w:r w:rsidRPr="00AA4674">
        <w:rPr>
          <w:rFonts w:ascii="Century Gothic" w:hAnsi="Century Gothic"/>
        </w:rPr>
        <w:t>Hatshepsut</w:t>
      </w:r>
      <w:proofErr w:type="spellEnd"/>
      <w:r w:rsidRPr="00AA4674">
        <w:rPr>
          <w:rFonts w:ascii="Century Gothic" w:hAnsi="Century Gothic"/>
        </w:rPr>
        <w:t>.</w:t>
      </w:r>
    </w:p>
    <w:p w14:paraId="7CE849EB" w14:textId="77777777" w:rsidR="00E15AD3" w:rsidRPr="00AA4674" w:rsidRDefault="00E15AD3" w:rsidP="00E15AD3">
      <w:pPr>
        <w:pStyle w:val="Prrafodelista"/>
        <w:numPr>
          <w:ilvl w:val="0"/>
          <w:numId w:val="32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Visita al Templo de los Dioses Sobek y </w:t>
      </w:r>
      <w:proofErr w:type="spellStart"/>
      <w:r w:rsidRPr="00AA4674">
        <w:rPr>
          <w:rFonts w:ascii="Century Gothic" w:hAnsi="Century Gothic"/>
        </w:rPr>
        <w:t>Haroeris</w:t>
      </w:r>
      <w:proofErr w:type="spellEnd"/>
      <w:r w:rsidRPr="00AA4674">
        <w:rPr>
          <w:rFonts w:ascii="Century Gothic" w:hAnsi="Century Gothic"/>
        </w:rPr>
        <w:t xml:space="preserve"> en </w:t>
      </w:r>
      <w:proofErr w:type="spellStart"/>
      <w:r w:rsidRPr="00AA4674">
        <w:rPr>
          <w:rFonts w:ascii="Century Gothic" w:hAnsi="Century Gothic"/>
        </w:rPr>
        <w:t>Kom</w:t>
      </w:r>
      <w:proofErr w:type="spellEnd"/>
      <w:r w:rsidRPr="00AA4674">
        <w:rPr>
          <w:rFonts w:ascii="Century Gothic" w:hAnsi="Century Gothic"/>
        </w:rPr>
        <w:t xml:space="preserve"> </w:t>
      </w:r>
      <w:proofErr w:type="spellStart"/>
      <w:r w:rsidRPr="00AA4674">
        <w:rPr>
          <w:rFonts w:ascii="Century Gothic" w:hAnsi="Century Gothic"/>
        </w:rPr>
        <w:t>Ombo</w:t>
      </w:r>
      <w:proofErr w:type="spellEnd"/>
      <w:r w:rsidRPr="00AA4674">
        <w:rPr>
          <w:rFonts w:ascii="Century Gothic" w:hAnsi="Century Gothic"/>
        </w:rPr>
        <w:t>.</w:t>
      </w:r>
    </w:p>
    <w:p w14:paraId="7668A9EA" w14:textId="77777777" w:rsidR="00E15AD3" w:rsidRPr="00AA4674" w:rsidRDefault="00E15AD3" w:rsidP="00E15AD3">
      <w:pPr>
        <w:pStyle w:val="Prrafodelista"/>
        <w:numPr>
          <w:ilvl w:val="0"/>
          <w:numId w:val="32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Visita al templo del Dios Horus en </w:t>
      </w:r>
      <w:proofErr w:type="spellStart"/>
      <w:r w:rsidRPr="00AA4674">
        <w:rPr>
          <w:rFonts w:ascii="Century Gothic" w:hAnsi="Century Gothic"/>
        </w:rPr>
        <w:t>Edfu</w:t>
      </w:r>
      <w:proofErr w:type="spellEnd"/>
      <w:r w:rsidRPr="00AA4674">
        <w:rPr>
          <w:rFonts w:ascii="Century Gothic" w:hAnsi="Century Gothic"/>
        </w:rPr>
        <w:t>.</w:t>
      </w:r>
    </w:p>
    <w:p w14:paraId="284B656E" w14:textId="2310586F" w:rsidR="00E15AD3" w:rsidRPr="00AA4674" w:rsidRDefault="00E15AD3" w:rsidP="00E15AD3">
      <w:pPr>
        <w:pStyle w:val="Prrafodelista"/>
        <w:numPr>
          <w:ilvl w:val="0"/>
          <w:numId w:val="32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Visita al templo de </w:t>
      </w:r>
      <w:proofErr w:type="spellStart"/>
      <w:r w:rsidRPr="00AA4674">
        <w:rPr>
          <w:rFonts w:ascii="Century Gothic" w:hAnsi="Century Gothic"/>
        </w:rPr>
        <w:t>Philae</w:t>
      </w:r>
      <w:proofErr w:type="spellEnd"/>
    </w:p>
    <w:p w14:paraId="5839D67A" w14:textId="3F1BD42F" w:rsidR="00E15AD3" w:rsidRPr="00AA4674" w:rsidRDefault="00E15AD3" w:rsidP="00E15AD3">
      <w:pPr>
        <w:pStyle w:val="Prrafodelista"/>
        <w:numPr>
          <w:ilvl w:val="0"/>
          <w:numId w:val="32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Paseo en </w:t>
      </w:r>
      <w:proofErr w:type="spellStart"/>
      <w:r w:rsidRPr="00AA4674">
        <w:rPr>
          <w:rFonts w:ascii="Century Gothic" w:hAnsi="Century Gothic"/>
        </w:rPr>
        <w:t>Faluca</w:t>
      </w:r>
      <w:proofErr w:type="spellEnd"/>
      <w:r w:rsidRPr="00AA4674">
        <w:rPr>
          <w:rFonts w:ascii="Century Gothic" w:hAnsi="Century Gothic"/>
        </w:rPr>
        <w:t xml:space="preserve"> por el Nilo</w:t>
      </w:r>
    </w:p>
    <w:p w14:paraId="391FBC2F" w14:textId="77777777" w:rsidR="00E15AD3" w:rsidRPr="00AA4674" w:rsidRDefault="00E15AD3" w:rsidP="00E15AD3">
      <w:pPr>
        <w:rPr>
          <w:rFonts w:ascii="Century Gothic" w:hAnsi="Century Gothic"/>
        </w:rPr>
      </w:pPr>
    </w:p>
    <w:p w14:paraId="720A73A2" w14:textId="77777777" w:rsidR="00E15AD3" w:rsidRPr="00AA4674" w:rsidRDefault="00E15AD3" w:rsidP="00E15AD3">
      <w:pPr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El programa NO incluye</w:t>
      </w:r>
    </w:p>
    <w:p w14:paraId="1602F747" w14:textId="77777777" w:rsidR="00E15AD3" w:rsidRPr="00AA4674" w:rsidRDefault="00E15AD3" w:rsidP="00E15AD3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Bebidas en las comidas.</w:t>
      </w:r>
    </w:p>
    <w:p w14:paraId="0AD52827" w14:textId="6B19EF54" w:rsidR="00E15AD3" w:rsidRPr="00AA4674" w:rsidRDefault="00E15AD3" w:rsidP="00E15AD3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Cualquier almuerzo o cena no mencionado en el programa</w:t>
      </w:r>
    </w:p>
    <w:p w14:paraId="3BA34722" w14:textId="29A7D2BC" w:rsidR="00E15AD3" w:rsidRPr="00AA4674" w:rsidRDefault="00E15AD3" w:rsidP="00E15AD3">
      <w:pPr>
        <w:pStyle w:val="Prrafodelista"/>
        <w:numPr>
          <w:ilvl w:val="0"/>
          <w:numId w:val="33"/>
        </w:numPr>
        <w:rPr>
          <w:rFonts w:ascii="Century Gothic" w:hAnsi="Century Gothic"/>
        </w:rPr>
      </w:pPr>
      <w:r w:rsidRPr="00AA4674">
        <w:rPr>
          <w:rFonts w:ascii="Century Gothic" w:hAnsi="Century Gothic"/>
        </w:rPr>
        <w:t>Extras y gastos personales</w:t>
      </w:r>
    </w:p>
    <w:p w14:paraId="44BEE9BA" w14:textId="745AF36E" w:rsidR="00A90167" w:rsidRPr="00AA4674" w:rsidRDefault="00A90167" w:rsidP="00A90167">
      <w:pPr>
        <w:rPr>
          <w:rFonts w:ascii="Century Gothic" w:hAnsi="Century Gothic"/>
        </w:rPr>
      </w:pPr>
    </w:p>
    <w:p w14:paraId="5E8336F7" w14:textId="6B1E75A3" w:rsidR="00713873" w:rsidRPr="00AA4674" w:rsidRDefault="0071387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CONDICIONES GENERALES</w:t>
      </w:r>
    </w:p>
    <w:p w14:paraId="6AE08994" w14:textId="26D19110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Para la reserva de cupo se requiere un depósito de USD 500 o su equivalente a MXN 10,000 por persona (no son reembolsables, no endosables, no transferibles en caso de cancelación).</w:t>
      </w:r>
    </w:p>
    <w:p w14:paraId="430AE987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El valor total del programa en vuelos boletos aéreos, según detalle de itinerario, deberá estar totalmente cancelado antes de la fecha de inicio del viaje según acuerdo a las fechas informadas en el programa.</w:t>
      </w:r>
    </w:p>
    <w:p w14:paraId="14ADB623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El valor total del programa se liquidará en PESOS MEXICANOS 35 días antes de la fecha del viaje y se liquidará a la tasa de cambio que establezca el Banco de México ese día.</w:t>
      </w:r>
    </w:p>
    <w:p w14:paraId="67312B3D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El </w:t>
      </w:r>
      <w:proofErr w:type="spellStart"/>
      <w:r w:rsidRPr="00AA4674">
        <w:rPr>
          <w:rFonts w:ascii="Century Gothic" w:hAnsi="Century Gothic"/>
        </w:rPr>
        <w:t>check</w:t>
      </w:r>
      <w:proofErr w:type="spellEnd"/>
      <w:r w:rsidRPr="00AA4674">
        <w:rPr>
          <w:rFonts w:ascii="Century Gothic" w:hAnsi="Century Gothic"/>
        </w:rPr>
        <w:t>-in en los aeropuertos es responsabilidad del cliente y la agencia de viajes correspondiente. Gente Mayorista México no se responsabiliza de este trámite.</w:t>
      </w:r>
    </w:p>
    <w:p w14:paraId="6454AAC9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Los traslados de entrada y salida aeropuerto–hotel–aeropuerto se realizarán de acuerdo al itinerario enviado.</w:t>
      </w:r>
    </w:p>
    <w:p w14:paraId="1F28C2E1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El plan no es reembolsable, no endosable y no revisable.</w:t>
      </w:r>
    </w:p>
    <w:p w14:paraId="79C8EDC1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El itinerario y los hoteles pueden variar por situaciones ajenas a nuestra voluntad, tales como fechas, fiestas, feriados, eventos especiales, huelgas o algún factor natural.</w:t>
      </w:r>
    </w:p>
    <w:p w14:paraId="2C55F1E9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Los hoteles pueden cambiar de acuerdo a disponibilidad, por similares y de la misma categoría.</w:t>
      </w:r>
    </w:p>
    <w:p w14:paraId="782E4797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lastRenderedPageBreak/>
        <w:t>Las visitas y excursiones ofrecidas están sujetas a operación y/o cambios por eventualidades climáticas, situaciones ajenas a nuestra voluntad y/o número mínimo de pasajeros para su operación.</w:t>
      </w:r>
    </w:p>
    <w:p w14:paraId="7D862914" w14:textId="1801828D" w:rsidR="00E15AD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Las habitaciones triples se confirman bajo solicitud previa (sujetas a confirmación).</w:t>
      </w:r>
    </w:p>
    <w:p w14:paraId="3F9079D1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Las habitaciones en el destino estarán disponibles a partir de las 3:00 </w:t>
      </w:r>
      <w:proofErr w:type="spellStart"/>
      <w:r w:rsidRPr="00AA4674">
        <w:rPr>
          <w:rFonts w:ascii="Century Gothic" w:hAnsi="Century Gothic"/>
        </w:rPr>
        <w:t>hrs</w:t>
      </w:r>
      <w:proofErr w:type="spellEnd"/>
      <w:r w:rsidRPr="00AA4674">
        <w:rPr>
          <w:rFonts w:ascii="Century Gothic" w:hAnsi="Century Gothic"/>
        </w:rPr>
        <w:t>. de la tarde, según hotel, independientemente de la hora de llegada de los pasajeros.</w:t>
      </w:r>
    </w:p>
    <w:p w14:paraId="249E1800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Las habitaciones se entregarán el día de salida máximo a las 12:00 </w:t>
      </w:r>
      <w:proofErr w:type="spellStart"/>
      <w:r w:rsidRPr="00AA4674">
        <w:rPr>
          <w:rFonts w:ascii="Century Gothic" w:hAnsi="Century Gothic"/>
        </w:rPr>
        <w:t>hrs</w:t>
      </w:r>
      <w:proofErr w:type="spellEnd"/>
      <w:r w:rsidRPr="00AA4674">
        <w:rPr>
          <w:rFonts w:ascii="Century Gothic" w:hAnsi="Century Gothic"/>
        </w:rPr>
        <w:t>. del mediodía.</w:t>
      </w:r>
    </w:p>
    <w:p w14:paraId="600B8001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El itinerario del circuito puede sufrir modificaciones o cambios en el orden del programa sin afectar el contenido del mismo, por cuestiones operativas o climáticas.</w:t>
      </w:r>
    </w:p>
    <w:p w14:paraId="7E5A0D63" w14:textId="1EE2E25F" w:rsidR="00804DE6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En caso de no reunir el número mínimo de participantes para la salida, el organizador se reserva el derecho de cancelar el viaje con aviso previo de </w:t>
      </w:r>
    </w:p>
    <w:p w14:paraId="343A958F" w14:textId="55F04A2A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30 días antes de la fecha de inicio del viaje, reintegrando el total del dinero recibido por el viaje.</w:t>
      </w:r>
    </w:p>
    <w:p w14:paraId="468857B4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El operador declina toda responsabilidad sobre demoras, anticipaciones o pérdidas de vuelos, daños o perjuicios causados por caso fortuito, fuerza mayor o causas ajenas a su voluntad.</w:t>
      </w:r>
    </w:p>
    <w:p w14:paraId="77997C8A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Los pasajeros son responsables de cumplir los requisitos migratorios y sanitarios del país de destino.</w:t>
      </w:r>
    </w:p>
    <w:p w14:paraId="564BA667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No se garantiza que los hoteles cuenten con habitaciones de igual condición en todos los pisos o alas del establecimiento, ni que todas las habitaciones sean idénticas entre sí.</w:t>
      </w:r>
    </w:p>
    <w:p w14:paraId="2F3BA964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Las tarifas y condiciones expresadas se aplican salvo error tipográfico o de impresión.</w:t>
      </w:r>
    </w:p>
    <w:p w14:paraId="5B3C4382" w14:textId="0CFA11EC" w:rsidR="00A90167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El operador no se hace responsable por la pérdida de servicios por parte de los servicios prestados en cada destino antes de finalizar el viaje.</w:t>
      </w:r>
    </w:p>
    <w:p w14:paraId="320C90F6" w14:textId="6549CCA2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  <w:b/>
        </w:rPr>
        <w:t>PAGO</w:t>
      </w:r>
      <w:r w:rsidRPr="00AA4674">
        <w:rPr>
          <w:rFonts w:ascii="Century Gothic" w:hAnsi="Century Gothic"/>
        </w:rPr>
        <w:br/>
        <w:t xml:space="preserve">•20% del precio total del viaje debe ser depositado como señal de reserva. Este depósito no es reembolsable. </w:t>
      </w:r>
      <w:proofErr w:type="spellStart"/>
      <w:r w:rsidRPr="00AA4674">
        <w:rPr>
          <w:rFonts w:ascii="Century Gothic" w:hAnsi="Century Gothic"/>
        </w:rPr>
        <w:t>Asi</w:t>
      </w:r>
      <w:proofErr w:type="spellEnd"/>
      <w:r w:rsidRPr="00AA4674">
        <w:rPr>
          <w:rFonts w:ascii="Century Gothic" w:hAnsi="Century Gothic"/>
        </w:rPr>
        <w:t xml:space="preserve"> como el pago de los vuelos internos en caso de aplicar</w:t>
      </w:r>
      <w:r w:rsidRPr="00AA4674">
        <w:rPr>
          <w:rFonts w:ascii="Century Gothic" w:hAnsi="Century Gothic"/>
        </w:rPr>
        <w:br/>
        <w:t xml:space="preserve">- Un segundo </w:t>
      </w:r>
      <w:proofErr w:type="spellStart"/>
      <w:r w:rsidRPr="00AA4674">
        <w:rPr>
          <w:rFonts w:ascii="Century Gothic" w:hAnsi="Century Gothic"/>
        </w:rPr>
        <w:t>deposito</w:t>
      </w:r>
      <w:proofErr w:type="spellEnd"/>
      <w:r w:rsidRPr="00AA4674">
        <w:rPr>
          <w:rFonts w:ascii="Century Gothic" w:hAnsi="Century Gothic"/>
        </w:rPr>
        <w:t xml:space="preserve"> de </w:t>
      </w:r>
      <w:proofErr w:type="spellStart"/>
      <w:r w:rsidRPr="00AA4674">
        <w:rPr>
          <w:rFonts w:ascii="Century Gothic" w:hAnsi="Century Gothic"/>
        </w:rPr>
        <w:t>aprox</w:t>
      </w:r>
      <w:proofErr w:type="spellEnd"/>
      <w:r w:rsidRPr="00AA4674">
        <w:rPr>
          <w:rFonts w:ascii="Century Gothic" w:hAnsi="Century Gothic"/>
        </w:rPr>
        <w:t xml:space="preserve"> 20% pagadero en </w:t>
      </w:r>
      <w:proofErr w:type="spellStart"/>
      <w:r w:rsidRPr="00AA4674">
        <w:rPr>
          <w:rFonts w:ascii="Century Gothic" w:hAnsi="Century Gothic"/>
        </w:rPr>
        <w:t>Mexico</w:t>
      </w:r>
      <w:proofErr w:type="spellEnd"/>
      <w:r w:rsidRPr="00AA4674">
        <w:rPr>
          <w:rFonts w:ascii="Century Gothic" w:hAnsi="Century Gothic"/>
        </w:rPr>
        <w:t xml:space="preserve"> en efectivo o transferencia bancaria al tipo de cambio que nos marca el operador el </w:t>
      </w:r>
      <w:proofErr w:type="spellStart"/>
      <w:r w:rsidRPr="00AA4674">
        <w:rPr>
          <w:rFonts w:ascii="Century Gothic" w:hAnsi="Century Gothic"/>
        </w:rPr>
        <w:t>dia</w:t>
      </w:r>
      <w:proofErr w:type="spellEnd"/>
      <w:r w:rsidRPr="00AA4674">
        <w:rPr>
          <w:rFonts w:ascii="Century Gothic" w:hAnsi="Century Gothic"/>
        </w:rPr>
        <w:t xml:space="preserve"> del pago.</w:t>
      </w:r>
      <w:r w:rsidRPr="00AA4674">
        <w:rPr>
          <w:rFonts w:ascii="Century Gothic" w:hAnsi="Century Gothic"/>
        </w:rPr>
        <w:br/>
        <w:t>- 60% del precio total del viaje debe ser depositado con 46 días de antelación a la fecha del viaje.</w:t>
      </w:r>
      <w:r w:rsidRPr="00AA4674">
        <w:rPr>
          <w:rFonts w:ascii="Century Gothic" w:hAnsi="Century Gothic"/>
        </w:rPr>
        <w:br/>
        <w:t xml:space="preserve">- 100% del precio total del viaje debe ser depositado con 45 días de antelación </w:t>
      </w:r>
      <w:proofErr w:type="spellStart"/>
      <w:r w:rsidRPr="00AA4674">
        <w:rPr>
          <w:rFonts w:ascii="Century Gothic" w:hAnsi="Century Gothic"/>
        </w:rPr>
        <w:t>ó</w:t>
      </w:r>
      <w:proofErr w:type="spellEnd"/>
      <w:r w:rsidRPr="00AA4674">
        <w:rPr>
          <w:rFonts w:ascii="Century Gothic" w:hAnsi="Century Gothic"/>
        </w:rPr>
        <w:t xml:space="preserve"> dentro de 24 horas si se reserva con una antelación inferior a los 45 días antes de la </w:t>
      </w:r>
      <w:r w:rsidRPr="00AA4674">
        <w:rPr>
          <w:rFonts w:ascii="Century Gothic" w:hAnsi="Century Gothic"/>
        </w:rPr>
        <w:lastRenderedPageBreak/>
        <w:t>salida del viaje.</w:t>
      </w:r>
      <w:r w:rsidRPr="00AA4674">
        <w:rPr>
          <w:rFonts w:ascii="Century Gothic" w:hAnsi="Century Gothic"/>
        </w:rPr>
        <w:br/>
      </w:r>
      <w:r w:rsidRPr="00AA4674">
        <w:rPr>
          <w:rFonts w:ascii="Century Gothic" w:hAnsi="Century Gothic"/>
          <w:b/>
        </w:rPr>
        <w:t>CANCELACIONES &amp; PENALIZACIONES:</w:t>
      </w:r>
      <w:r w:rsidRPr="00AA4674">
        <w:rPr>
          <w:rFonts w:ascii="Century Gothic" w:hAnsi="Century Gothic"/>
        </w:rPr>
        <w:t xml:space="preserve"> Cualquier cancelación debe hacerse por escrito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21F0E1" w14:textId="332A4F8F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• 20% del Depósito es no reembolsable, para todas las reservas confirmadas</w:t>
      </w:r>
      <w:r w:rsidRPr="00AA4674">
        <w:rPr>
          <w:rFonts w:ascii="Century Gothic" w:hAnsi="Century Gothic"/>
        </w:rPr>
        <w:br/>
        <w:t>- Entre 50 - 30 días antes de la fecha de llegada, será penalizado con el 70% del precio total del viaje</w:t>
      </w:r>
      <w:r w:rsidRPr="00AA4674">
        <w:rPr>
          <w:rFonts w:ascii="Century Gothic" w:hAnsi="Century Gothic"/>
        </w:rPr>
        <w:br/>
        <w:t>- Entre 30 - 0 días antes de la fecha de llegada, será penalizado con el 100% del precio total del viaje</w:t>
      </w:r>
      <w:r w:rsidRPr="00AA4674">
        <w:rPr>
          <w:rFonts w:ascii="Century Gothic" w:hAnsi="Century Gothic"/>
        </w:rPr>
        <w:br/>
      </w:r>
      <w:r w:rsidRPr="00AA4674">
        <w:rPr>
          <w:rFonts w:ascii="Century Gothic" w:hAnsi="Century Gothic"/>
          <w:b/>
        </w:rPr>
        <w:t>*CONDICIONES ESPECIALES:</w:t>
      </w:r>
      <w:r w:rsidRPr="00AA4674">
        <w:rPr>
          <w:rFonts w:ascii="Century Gothic" w:hAnsi="Century Gothic"/>
        </w:rPr>
        <w:t xml:space="preserve"> Dependiendo de la política de cancelaciones de las aerolíneas, los hoteles y los cruceros, las condiciones anteriormente descritas pueden ser modificadas.</w:t>
      </w:r>
    </w:p>
    <w:p w14:paraId="3A721312" w14:textId="77777777" w:rsidR="00713873" w:rsidRPr="00AA4674" w:rsidRDefault="0071387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DE DEVOLUCIONES Y OTROS</w:t>
      </w:r>
    </w:p>
    <w:p w14:paraId="45526B36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La responsabilidad del organizador del plan o paquete turístico ante los usuarios por la prestación y calidad de los servicios descritos se conformará con los términos y condiciones de las leyes vigentes.</w:t>
      </w:r>
    </w:p>
    <w:p w14:paraId="4BA9F35E" w14:textId="01E5D5D2" w:rsidR="00A90167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 xml:space="preserve">En caso de desistimiento del viaje contratado, el reintegro de los servicios turísticos estará sujeto a las condiciones de reembolso de cada proveedor (líneas aéreas, hoteles, operadores locales, etc.). Si el desistimiento se produce antes del inicio del </w:t>
      </w:r>
    </w:p>
    <w:p w14:paraId="2462BE70" w14:textId="51EA42E6" w:rsidR="008770A0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viaje, el organizador podrá retener un porcentaje del valor total pagado por gastos administrativos, operativos o penalidades de los proveedores.</w:t>
      </w:r>
    </w:p>
    <w:p w14:paraId="2923AAF4" w14:textId="2697B0B4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Salvo manifestación expresa en contrario en las condiciones del plan turístico, todos los reembolsos se efectuarán en el mismo medio en que fue realizado el pago.</w:t>
      </w:r>
    </w:p>
    <w:p w14:paraId="58621E64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No habrá reembolsos una vez iniciado el viaje, ni por servicios no utilizados voluntariamente por el pasajero.</w:t>
      </w:r>
    </w:p>
    <w:p w14:paraId="4734D4AB" w14:textId="77777777" w:rsidR="0071387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Si el pasajero cancela el viaje por fuerza mayor, deberá presentar los documentos justificativos, y el reembolso procederá de acuerdo con las políticas del proveedor.</w:t>
      </w:r>
    </w:p>
    <w:p w14:paraId="0E1CB1D7" w14:textId="06D14723" w:rsidR="00804DE6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Cualquier participación en el programa implica de esta manera aceptar por parte del usuario, con el objeto de salvaguardar el prestigio de la agencia organizadora, una conducta intachable y respetuosa hacia compañeros, guías, coordinadores y demás personas.</w:t>
      </w:r>
    </w:p>
    <w:p w14:paraId="3F21F2BF" w14:textId="2ADD7D4D" w:rsidR="00713873" w:rsidRPr="00AA4674" w:rsidRDefault="00713873" w:rsidP="00E15AD3">
      <w:pPr>
        <w:jc w:val="both"/>
        <w:rPr>
          <w:rFonts w:ascii="Century Gothic" w:hAnsi="Century Gothic"/>
          <w:b/>
        </w:rPr>
      </w:pPr>
      <w:r w:rsidRPr="00AA4674">
        <w:rPr>
          <w:rFonts w:ascii="Century Gothic" w:hAnsi="Century Gothic"/>
          <w:b/>
        </w:rPr>
        <w:t>TURISMO RESPONSABLE</w:t>
      </w:r>
    </w:p>
    <w:p w14:paraId="6485BB72" w14:textId="694880B3" w:rsidR="00E15AD3" w:rsidRPr="00AA4674" w:rsidRDefault="00713873" w:rsidP="00E15AD3">
      <w:pPr>
        <w:jc w:val="both"/>
        <w:rPr>
          <w:rFonts w:ascii="Century Gothic" w:hAnsi="Century Gothic"/>
        </w:rPr>
      </w:pPr>
      <w:r w:rsidRPr="00AA4674">
        <w:rPr>
          <w:rFonts w:ascii="Century Gothic" w:hAnsi="Century Gothic"/>
        </w:rPr>
        <w:t>Se prohíbe la prestación, promoción y/o divulgación sexual de menores de edad, la explotación sexual y el turismo sexual en todas sus formas. El organizador, sus empleados y demás proveedores contratados se adhieren a esta política de protección integral de menores, en cumplimiento del Código de Conducta Nacional para la Protección de Niñas, Niños y Adolescentes en el Sector de los Viajes y el Turismo. Promovemos la protección de la niñez para evitar ser víctima de explotación o abuso.</w:t>
      </w:r>
      <w:bookmarkStart w:id="3" w:name="_GoBack"/>
      <w:bookmarkEnd w:id="3"/>
    </w:p>
    <w:sectPr w:rsidR="00E15AD3" w:rsidRPr="00AA467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420EC" w14:textId="77777777" w:rsidR="005142F0" w:rsidRDefault="005142F0" w:rsidP="00804DE6">
      <w:pPr>
        <w:spacing w:after="0" w:line="240" w:lineRule="auto"/>
      </w:pPr>
      <w:r>
        <w:separator/>
      </w:r>
    </w:p>
  </w:endnote>
  <w:endnote w:type="continuationSeparator" w:id="0">
    <w:p w14:paraId="4C9CCB8E" w14:textId="77777777" w:rsidR="005142F0" w:rsidRDefault="005142F0" w:rsidP="008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AB137" w14:textId="77777777" w:rsidR="005142F0" w:rsidRDefault="005142F0" w:rsidP="00804DE6">
      <w:pPr>
        <w:spacing w:after="0" w:line="240" w:lineRule="auto"/>
      </w:pPr>
      <w:r>
        <w:separator/>
      </w:r>
    </w:p>
  </w:footnote>
  <w:footnote w:type="continuationSeparator" w:id="0">
    <w:p w14:paraId="5262A11F" w14:textId="77777777" w:rsidR="005142F0" w:rsidRDefault="005142F0" w:rsidP="0080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36975" w14:textId="5171558D" w:rsidR="00804DE6" w:rsidRDefault="00804DE6">
    <w:pPr>
      <w:pStyle w:val="Encabezado"/>
    </w:pPr>
  </w:p>
  <w:p w14:paraId="6460001B" w14:textId="77777777" w:rsidR="00804DE6" w:rsidRDefault="00804D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A20"/>
    <w:multiLevelType w:val="multilevel"/>
    <w:tmpl w:val="2C52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430A9"/>
    <w:multiLevelType w:val="multilevel"/>
    <w:tmpl w:val="EB1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9262C"/>
    <w:multiLevelType w:val="multilevel"/>
    <w:tmpl w:val="1E6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37164"/>
    <w:multiLevelType w:val="hybridMultilevel"/>
    <w:tmpl w:val="BFF6E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A9E"/>
    <w:multiLevelType w:val="multilevel"/>
    <w:tmpl w:val="8D92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A2525"/>
    <w:multiLevelType w:val="multilevel"/>
    <w:tmpl w:val="7D9A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38425F"/>
    <w:multiLevelType w:val="multilevel"/>
    <w:tmpl w:val="FF7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7C7B36"/>
    <w:multiLevelType w:val="multilevel"/>
    <w:tmpl w:val="37C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D54D0"/>
    <w:multiLevelType w:val="multilevel"/>
    <w:tmpl w:val="EA62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16081"/>
    <w:multiLevelType w:val="multilevel"/>
    <w:tmpl w:val="0CD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E16A2"/>
    <w:multiLevelType w:val="multilevel"/>
    <w:tmpl w:val="E3D0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D36E5"/>
    <w:multiLevelType w:val="multilevel"/>
    <w:tmpl w:val="7A84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029E4"/>
    <w:multiLevelType w:val="hybridMultilevel"/>
    <w:tmpl w:val="A8741D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6BBB"/>
    <w:multiLevelType w:val="multilevel"/>
    <w:tmpl w:val="871E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7C0797"/>
    <w:multiLevelType w:val="multilevel"/>
    <w:tmpl w:val="B9A4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7D766B"/>
    <w:multiLevelType w:val="multilevel"/>
    <w:tmpl w:val="5758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86759A"/>
    <w:multiLevelType w:val="multilevel"/>
    <w:tmpl w:val="BA44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A0BB1"/>
    <w:multiLevelType w:val="multilevel"/>
    <w:tmpl w:val="8C5A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9D57D1"/>
    <w:multiLevelType w:val="multilevel"/>
    <w:tmpl w:val="680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4E4928"/>
    <w:multiLevelType w:val="multilevel"/>
    <w:tmpl w:val="B54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687A6A"/>
    <w:multiLevelType w:val="multilevel"/>
    <w:tmpl w:val="E9C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A0419F"/>
    <w:multiLevelType w:val="multilevel"/>
    <w:tmpl w:val="79F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3A2820"/>
    <w:multiLevelType w:val="multilevel"/>
    <w:tmpl w:val="0CEE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53722C"/>
    <w:multiLevelType w:val="multilevel"/>
    <w:tmpl w:val="86A2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1211E2"/>
    <w:multiLevelType w:val="multilevel"/>
    <w:tmpl w:val="7E4E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513598"/>
    <w:multiLevelType w:val="multilevel"/>
    <w:tmpl w:val="978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940DD1"/>
    <w:multiLevelType w:val="multilevel"/>
    <w:tmpl w:val="9418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085E88"/>
    <w:multiLevelType w:val="multilevel"/>
    <w:tmpl w:val="AA2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4F7841"/>
    <w:multiLevelType w:val="hybridMultilevel"/>
    <w:tmpl w:val="E9A60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95840"/>
    <w:multiLevelType w:val="multilevel"/>
    <w:tmpl w:val="C146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85447C"/>
    <w:multiLevelType w:val="multilevel"/>
    <w:tmpl w:val="1F0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11562B"/>
    <w:multiLevelType w:val="multilevel"/>
    <w:tmpl w:val="F7A6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236A49"/>
    <w:multiLevelType w:val="multilevel"/>
    <w:tmpl w:val="619C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22"/>
  </w:num>
  <w:num w:numId="5">
    <w:abstractNumId w:val="9"/>
  </w:num>
  <w:num w:numId="6">
    <w:abstractNumId w:val="13"/>
  </w:num>
  <w:num w:numId="7">
    <w:abstractNumId w:val="15"/>
  </w:num>
  <w:num w:numId="8">
    <w:abstractNumId w:val="30"/>
  </w:num>
  <w:num w:numId="9">
    <w:abstractNumId w:val="0"/>
  </w:num>
  <w:num w:numId="10">
    <w:abstractNumId w:val="29"/>
  </w:num>
  <w:num w:numId="11">
    <w:abstractNumId w:val="16"/>
  </w:num>
  <w:num w:numId="12">
    <w:abstractNumId w:val="8"/>
  </w:num>
  <w:num w:numId="13">
    <w:abstractNumId w:val="18"/>
  </w:num>
  <w:num w:numId="14">
    <w:abstractNumId w:val="10"/>
  </w:num>
  <w:num w:numId="15">
    <w:abstractNumId w:val="25"/>
  </w:num>
  <w:num w:numId="16">
    <w:abstractNumId w:val="6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20"/>
  </w:num>
  <w:num w:numId="22">
    <w:abstractNumId w:val="32"/>
  </w:num>
  <w:num w:numId="23">
    <w:abstractNumId w:val="4"/>
  </w:num>
  <w:num w:numId="24">
    <w:abstractNumId w:val="5"/>
  </w:num>
  <w:num w:numId="25">
    <w:abstractNumId w:val="1"/>
  </w:num>
  <w:num w:numId="26">
    <w:abstractNumId w:val="11"/>
  </w:num>
  <w:num w:numId="27">
    <w:abstractNumId w:val="26"/>
  </w:num>
  <w:num w:numId="28">
    <w:abstractNumId w:val="17"/>
  </w:num>
  <w:num w:numId="29">
    <w:abstractNumId w:val="24"/>
  </w:num>
  <w:num w:numId="30">
    <w:abstractNumId w:val="19"/>
  </w:num>
  <w:num w:numId="31">
    <w:abstractNumId w:val="12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FD"/>
    <w:rsid w:val="002F75FD"/>
    <w:rsid w:val="004F5ED8"/>
    <w:rsid w:val="005142F0"/>
    <w:rsid w:val="0053281C"/>
    <w:rsid w:val="005D61AA"/>
    <w:rsid w:val="00620BAA"/>
    <w:rsid w:val="00713873"/>
    <w:rsid w:val="00784E3E"/>
    <w:rsid w:val="00804DE6"/>
    <w:rsid w:val="00874878"/>
    <w:rsid w:val="008770A0"/>
    <w:rsid w:val="00994340"/>
    <w:rsid w:val="00A90167"/>
    <w:rsid w:val="00AA4674"/>
    <w:rsid w:val="00DD4C5D"/>
    <w:rsid w:val="00E15AD3"/>
    <w:rsid w:val="00E33826"/>
    <w:rsid w:val="00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3B74B"/>
  <w15:chartTrackingRefBased/>
  <w15:docId w15:val="{C6532765-1CC3-4EE1-B49D-BE04312A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F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2F75FD"/>
  </w:style>
  <w:style w:type="character" w:customStyle="1" w:styleId="eop">
    <w:name w:val="eop"/>
    <w:basedOn w:val="Fuentedeprrafopredeter"/>
    <w:rsid w:val="002F75FD"/>
  </w:style>
  <w:style w:type="character" w:customStyle="1" w:styleId="tabchar">
    <w:name w:val="tabchar"/>
    <w:basedOn w:val="Fuentedeprrafopredeter"/>
    <w:rsid w:val="002F75FD"/>
  </w:style>
  <w:style w:type="paragraph" w:styleId="Encabezado">
    <w:name w:val="header"/>
    <w:basedOn w:val="Normal"/>
    <w:link w:val="EncabezadoCar"/>
    <w:uiPriority w:val="99"/>
    <w:unhideWhenUsed/>
    <w:rsid w:val="00804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DE6"/>
  </w:style>
  <w:style w:type="paragraph" w:styleId="Piedepgina">
    <w:name w:val="footer"/>
    <w:basedOn w:val="Normal"/>
    <w:link w:val="PiedepginaCar"/>
    <w:uiPriority w:val="99"/>
    <w:unhideWhenUsed/>
    <w:rsid w:val="00804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E6"/>
  </w:style>
  <w:style w:type="paragraph" w:customStyle="1" w:styleId="m-6808648083494750610msonospacing">
    <w:name w:val="m_-6808648083494750610msonospacing"/>
    <w:basedOn w:val="Normal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E1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AD9B-4146-436F-B45A-82B21BCE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1909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JIMENEZ</dc:creator>
  <cp:keywords/>
  <dc:description/>
  <cp:lastModifiedBy>Andrea Cruz</cp:lastModifiedBy>
  <cp:revision>4</cp:revision>
  <dcterms:created xsi:type="dcterms:W3CDTF">2025-11-25T17:21:00Z</dcterms:created>
  <dcterms:modified xsi:type="dcterms:W3CDTF">2025-12-12T17:45:00Z</dcterms:modified>
</cp:coreProperties>
</file>