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bookmarkStart w:colFirst="0" w:colLast="0" w:name="_heading=h.31377rxa9wwk" w:id="0"/>
      <w:bookmarkEnd w:id="0"/>
      <w:r w:rsidDel="00000000" w:rsidR="00000000" w:rsidRPr="00000000">
        <w:rPr>
          <w:rFonts w:ascii="Arial" w:cs="Arial" w:eastAsia="Arial" w:hAnsi="Arial"/>
          <w:b w:val="1"/>
          <w:sz w:val="44"/>
          <w:szCs w:val="44"/>
          <w:rtl w:val="0"/>
        </w:rPr>
        <w:t xml:space="preserve">EL CALAFATE</w:t>
      </w: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 BÁSICO</w:t>
      </w:r>
    </w:p>
    <w:p w:rsidR="00000000" w:rsidDel="00000000" w:rsidP="00000000" w:rsidRDefault="00000000" w:rsidRPr="00000000" w14:paraId="00000004">
      <w:pPr>
        <w:spacing w:after="0"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(4 días / 3 noches)</w:t>
      </w:r>
    </w:p>
    <w:p w:rsidR="00000000" w:rsidDel="00000000" w:rsidP="00000000" w:rsidRDefault="00000000" w:rsidRPr="00000000" w14:paraId="00000005">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52"/>
          <w:szCs w:val="52"/>
        </w:rPr>
      </w:pPr>
      <w:r w:rsidDel="00000000" w:rsidR="00000000" w:rsidRPr="00000000">
        <w:rPr>
          <w:b w:val="1"/>
          <w:sz w:val="52"/>
          <w:szCs w:val="52"/>
        </w:rPr>
        <w:drawing>
          <wp:inline distB="114300" distT="114300" distL="114300" distR="114300">
            <wp:extent cx="5084064" cy="3108960"/>
            <wp:effectExtent b="0" l="0" r="0" t="0"/>
            <wp:docPr id="196683788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84064" cy="310896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i w:val="1"/>
          <w:color w:val="434343"/>
          <w:highlight w:val="white"/>
        </w:rPr>
      </w:pPr>
      <w:r w:rsidDel="00000000" w:rsidR="00000000" w:rsidRPr="00000000">
        <w:rPr>
          <w:rFonts w:ascii="Arial" w:cs="Arial" w:eastAsia="Arial" w:hAnsi="Arial"/>
          <w:i w:val="1"/>
          <w:color w:val="434343"/>
          <w:highlight w:val="white"/>
          <w:rtl w:val="0"/>
        </w:rPr>
        <w:t xml:space="preserve">El Calafate, ubicado en la majestuosa Patagonia argentina, es un destino imperdible para los amantes de la naturaleza y la aventura. Su principal atractivo es el imponente Glaciar Perito Moreno, una maravilla natural que te dejará sin aliento con su tamaño y belleza. Además de admirar el glaciar desde las pasarelas, podrás embarcarte en una emocionante navegación por el Lago Argentino para apreciarlo desde otro ángulo. Explora el Parque Nacional Los Glaciares y maravíllate con la diversidad de flora y fauna de la región. Disfruta de actividades como trekking, paseos en kayak y avistaje de aves. Con su paisaje único y su ambiente tranquilo, El Calafate te ofrece una experiencia inolvidable en el corazón de la Patagonia. </w:t>
      </w:r>
    </w:p>
    <w:p w:rsidR="00000000" w:rsidDel="00000000" w:rsidP="00000000" w:rsidRDefault="00000000" w:rsidRPr="00000000" w14:paraId="00000008">
      <w:pPr>
        <w:spacing w:after="0" w:lineRule="auto"/>
        <w:jc w:val="both"/>
        <w:rPr>
          <w:rFonts w:ascii="Arial" w:cs="Arial" w:eastAsia="Arial" w:hAnsi="Arial"/>
          <w:i w:val="1"/>
          <w:color w:val="434343"/>
        </w:rPr>
      </w:pPr>
      <w:r w:rsidDel="00000000" w:rsidR="00000000" w:rsidRPr="00000000">
        <w:rPr>
          <w:rFonts w:ascii="Arial" w:cs="Arial" w:eastAsia="Arial" w:hAnsi="Arial"/>
          <w:i w:val="1"/>
          <w:color w:val="434343"/>
          <w:highlight w:val="white"/>
          <w:rtl w:val="0"/>
        </w:rPr>
        <w:t xml:space="preserve">¡Descubre la magia de este lugar extraordinario!</w:t>
      </w: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País: </w:t>
      </w:r>
      <w:r w:rsidDel="00000000" w:rsidR="00000000" w:rsidRPr="00000000">
        <w:rPr>
          <w:rFonts w:ascii="Arial" w:cs="Arial" w:eastAsia="Arial" w:hAnsi="Arial"/>
          <w:i w:val="1"/>
          <w:sz w:val="24"/>
          <w:szCs w:val="24"/>
          <w:rtl w:val="0"/>
        </w:rPr>
        <w:t xml:space="preserve">Argentina</w:t>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Ciudades: </w:t>
      </w:r>
      <w:r w:rsidDel="00000000" w:rsidR="00000000" w:rsidRPr="00000000">
        <w:rPr>
          <w:rFonts w:ascii="Arial" w:cs="Arial" w:eastAsia="Arial" w:hAnsi="Arial"/>
          <w:i w:val="1"/>
          <w:sz w:val="24"/>
          <w:szCs w:val="24"/>
          <w:rtl w:val="0"/>
        </w:rPr>
        <w:t xml:space="preserve">El Calafate</w:t>
      </w:r>
    </w:p>
    <w:p w:rsidR="00000000" w:rsidDel="00000000" w:rsidP="00000000" w:rsidRDefault="00000000" w:rsidRPr="00000000" w14:paraId="0000000C">
      <w:pPr>
        <w:spacing w:after="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Temporada: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2024 - 2025</w:t>
      </w:r>
    </w:p>
    <w:p w:rsidR="00000000" w:rsidDel="00000000" w:rsidP="00000000" w:rsidRDefault="00000000" w:rsidRPr="00000000" w14:paraId="0000000D">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Opera: </w:t>
      </w:r>
      <w:r w:rsidDel="00000000" w:rsidR="00000000" w:rsidRPr="00000000">
        <w:rPr>
          <w:rFonts w:ascii="Arial" w:cs="Arial" w:eastAsia="Arial" w:hAnsi="Arial"/>
          <w:sz w:val="24"/>
          <w:szCs w:val="24"/>
          <w:rtl w:val="0"/>
        </w:rPr>
        <w:t xml:space="preserve">diario</w:t>
      </w:r>
    </w:p>
    <w:p w:rsidR="00000000" w:rsidDel="00000000" w:rsidP="00000000" w:rsidRDefault="00000000" w:rsidRPr="00000000" w14:paraId="0000000E">
      <w:pPr>
        <w:spacing w:after="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Mínimo 2 pasajeros.</w:t>
      </w:r>
    </w:p>
    <w:p w:rsidR="00000000" w:rsidDel="00000000" w:rsidP="00000000" w:rsidRDefault="00000000" w:rsidRPr="00000000" w14:paraId="0000000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heading=h.zijsgmq062ew" w:id="1"/>
      <w:bookmarkEnd w:id="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ITINERARIO</w:t>
      </w:r>
    </w:p>
    <w:p w:rsidR="00000000" w:rsidDel="00000000" w:rsidP="00000000" w:rsidRDefault="00000000" w:rsidRPr="00000000" w14:paraId="0000001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Rule="auto"/>
        <w:ind w:right="-705"/>
        <w:rPr>
          <w:rFonts w:ascii="Arial" w:cs="Arial" w:eastAsia="Arial" w:hAnsi="Arial"/>
          <w:b w:val="1"/>
        </w:rPr>
      </w:pPr>
      <w:r w:rsidDel="00000000" w:rsidR="00000000" w:rsidRPr="00000000">
        <w:rPr>
          <w:rFonts w:ascii="Arial" w:cs="Arial" w:eastAsia="Arial" w:hAnsi="Arial"/>
          <w:b w:val="1"/>
          <w:rtl w:val="0"/>
        </w:rPr>
        <w:t xml:space="preserve">DÍA 1 - CALAFATE</w:t>
      </w:r>
    </w:p>
    <w:p w:rsidR="00000000" w:rsidDel="00000000" w:rsidP="00000000" w:rsidRDefault="00000000" w:rsidRPr="00000000" w14:paraId="00000015">
      <w:pPr>
        <w:spacing w:after="0" w:lineRule="auto"/>
        <w:ind w:right="-705"/>
        <w:jc w:val="both"/>
        <w:rPr>
          <w:rFonts w:ascii="Arial" w:cs="Arial" w:eastAsia="Arial" w:hAnsi="Arial"/>
        </w:rPr>
      </w:pPr>
      <w:r w:rsidDel="00000000" w:rsidR="00000000" w:rsidRPr="00000000">
        <w:rPr>
          <w:rFonts w:ascii="Arial" w:cs="Arial" w:eastAsia="Arial" w:hAnsi="Arial"/>
          <w:rtl w:val="0"/>
        </w:rPr>
        <w:t xml:space="preserve">Recepción y traslado al hotel seleccionado. </w:t>
      </w:r>
      <w:r w:rsidDel="00000000" w:rsidR="00000000" w:rsidRPr="00000000">
        <w:rPr>
          <w:rFonts w:ascii="Arial" w:cs="Arial" w:eastAsia="Arial" w:hAnsi="Arial"/>
          <w:b w:val="1"/>
          <w:rtl w:val="0"/>
        </w:rPr>
        <w:t xml:space="preserve">Alojamiento.</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5"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Rule="auto"/>
        <w:ind w:right="-705"/>
        <w:rPr>
          <w:rFonts w:ascii="Arial" w:cs="Arial" w:eastAsia="Arial" w:hAnsi="Arial"/>
          <w:b w:val="1"/>
        </w:rPr>
      </w:pPr>
      <w:r w:rsidDel="00000000" w:rsidR="00000000" w:rsidRPr="00000000">
        <w:rPr>
          <w:rFonts w:ascii="Arial" w:cs="Arial" w:eastAsia="Arial" w:hAnsi="Arial"/>
          <w:b w:val="1"/>
          <w:rtl w:val="0"/>
        </w:rPr>
        <w:t xml:space="preserve">DÍA 2- CALAFATE</w:t>
      </w:r>
    </w:p>
    <w:p w:rsidR="00000000" w:rsidDel="00000000" w:rsidP="00000000" w:rsidRDefault="00000000" w:rsidRPr="00000000" w14:paraId="00000018">
      <w:pPr>
        <w:spacing w:after="0" w:lineRule="auto"/>
        <w:ind w:right="-705"/>
        <w:jc w:val="both"/>
        <w:rPr>
          <w:rFonts w:ascii="Arial" w:cs="Arial" w:eastAsia="Arial" w:hAnsi="Arial"/>
        </w:rPr>
      </w:pPr>
      <w:r w:rsidDel="00000000" w:rsidR="00000000" w:rsidRPr="00000000">
        <w:rPr>
          <w:rFonts w:ascii="Arial" w:cs="Arial" w:eastAsia="Arial" w:hAnsi="Arial"/>
          <w:b w:val="1"/>
          <w:rtl w:val="0"/>
        </w:rPr>
        <w:t xml:space="preserve">Desayuno Americano. </w:t>
      </w:r>
      <w:r w:rsidDel="00000000" w:rsidR="00000000" w:rsidRPr="00000000">
        <w:rPr>
          <w:rFonts w:ascii="Arial" w:cs="Arial" w:eastAsia="Arial" w:hAnsi="Arial"/>
          <w:rtl w:val="0"/>
        </w:rPr>
        <w:t xml:space="preserve">Salida para tomar la excursión de día completo al Glaciar Perito Moreno. Desde El Calafate al Glaciar Perito Moreno media una distancia de 80 km por caminos de ripio. Al inicio del recorrido, a la derecha del camino se puede apreciar el Lago Argentino y su Bahía Redonda. En los primeros 40 km domina el paisaje la estepa patagónica, para luego ingresar dentro del Parque Nacional Los Glaciares, donde predomina la vegetación arbórea, en su mayoría perteneciente a la familia de los nothofagus (lengas, ñires, coihues de magallanes). El trayecto culmina en las pasarelas, las cuáles pueden recorrer libremente. Las pasarelas tienen una extensión de 4 km y están constituidas por escalinatas que descienden hasta aproximarse a unos 300 ms del frente del glaciar. </w:t>
      </w:r>
      <w:r w:rsidDel="00000000" w:rsidR="00000000" w:rsidRPr="00000000">
        <w:rPr>
          <w:rFonts w:ascii="Arial" w:cs="Arial" w:eastAsia="Arial" w:hAnsi="Arial"/>
          <w:b w:val="1"/>
          <w:rtl w:val="0"/>
        </w:rPr>
        <w:t xml:space="preserve">Alojamiento.</w:t>
      </w:r>
      <w:r w:rsidDel="00000000" w:rsidR="00000000" w:rsidRPr="00000000">
        <w:rPr>
          <w:rtl w:val="0"/>
        </w:rPr>
      </w:r>
    </w:p>
    <w:p w:rsidR="00000000" w:rsidDel="00000000" w:rsidP="00000000" w:rsidRDefault="00000000" w:rsidRPr="00000000" w14:paraId="00000019">
      <w:pPr>
        <w:spacing w:after="0" w:lineRule="auto"/>
        <w:ind w:right="-705"/>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Rule="auto"/>
        <w:ind w:right="-705"/>
        <w:rPr>
          <w:rFonts w:ascii="Arial" w:cs="Arial" w:eastAsia="Arial" w:hAnsi="Arial"/>
          <w:b w:val="1"/>
        </w:rPr>
      </w:pPr>
      <w:r w:rsidDel="00000000" w:rsidR="00000000" w:rsidRPr="00000000">
        <w:rPr>
          <w:rFonts w:ascii="Arial" w:cs="Arial" w:eastAsia="Arial" w:hAnsi="Arial"/>
          <w:b w:val="1"/>
          <w:rtl w:val="0"/>
        </w:rPr>
        <w:t xml:space="preserve">DÍA 3 - CALAFATE</w:t>
      </w:r>
    </w:p>
    <w:p w:rsidR="00000000" w:rsidDel="00000000" w:rsidP="00000000" w:rsidRDefault="00000000" w:rsidRPr="00000000" w14:paraId="0000001B">
      <w:pPr>
        <w:spacing w:after="0" w:lineRule="auto"/>
        <w:ind w:right="-705"/>
        <w:jc w:val="both"/>
        <w:rPr>
          <w:rFonts w:ascii="Arial" w:cs="Arial" w:eastAsia="Arial" w:hAnsi="Arial"/>
        </w:rPr>
      </w:pPr>
      <w:r w:rsidDel="00000000" w:rsidR="00000000" w:rsidRPr="00000000">
        <w:rPr>
          <w:rFonts w:ascii="Arial" w:cs="Arial" w:eastAsia="Arial" w:hAnsi="Arial"/>
          <w:b w:val="1"/>
          <w:rtl w:val="0"/>
        </w:rPr>
        <w:t xml:space="preserve">Desayuno Americano.</w:t>
      </w:r>
      <w:r w:rsidDel="00000000" w:rsidR="00000000" w:rsidRPr="00000000">
        <w:rPr>
          <w:rFonts w:ascii="Arial" w:cs="Arial" w:eastAsia="Arial" w:hAnsi="Arial"/>
          <w:rtl w:val="0"/>
        </w:rPr>
        <w:t xml:space="preserve"> Día libre para realizar actividades personales. </w:t>
      </w:r>
      <w:r w:rsidDel="00000000" w:rsidR="00000000" w:rsidRPr="00000000">
        <w:rPr>
          <w:rFonts w:ascii="Arial" w:cs="Arial" w:eastAsia="Arial" w:hAnsi="Arial"/>
          <w:b w:val="1"/>
          <w:rtl w:val="0"/>
        </w:rPr>
        <w:t xml:space="preserve">Alojamiento.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0" w:lineRule="auto"/>
        <w:ind w:right="-705"/>
        <w:rPr>
          <w:rFonts w:ascii="Arial" w:cs="Arial" w:eastAsia="Arial" w:hAnsi="Arial"/>
          <w:b w:val="1"/>
        </w:rPr>
      </w:pPr>
      <w:r w:rsidDel="00000000" w:rsidR="00000000" w:rsidRPr="00000000">
        <w:rPr>
          <w:rFonts w:ascii="Arial" w:cs="Arial" w:eastAsia="Arial" w:hAnsi="Arial"/>
          <w:b w:val="1"/>
          <w:rtl w:val="0"/>
        </w:rPr>
        <w:t xml:space="preserve">DÍA 4 - CALAFATE</w:t>
      </w:r>
    </w:p>
    <w:p w:rsidR="00000000" w:rsidDel="00000000" w:rsidP="00000000" w:rsidRDefault="00000000" w:rsidRPr="00000000" w14:paraId="0000001E">
      <w:pPr>
        <w:spacing w:after="0" w:lineRule="auto"/>
        <w:ind w:right="-705"/>
        <w:jc w:val="both"/>
        <w:rPr>
          <w:rFonts w:ascii="Arial" w:cs="Arial" w:eastAsia="Arial" w:hAnsi="Arial"/>
        </w:rPr>
      </w:pPr>
      <w:r w:rsidDel="00000000" w:rsidR="00000000" w:rsidRPr="00000000">
        <w:rPr>
          <w:rFonts w:ascii="Arial" w:cs="Arial" w:eastAsia="Arial" w:hAnsi="Arial"/>
          <w:b w:val="1"/>
          <w:rtl w:val="0"/>
        </w:rPr>
        <w:t xml:space="preserve">Desayuno Americano.</w:t>
      </w:r>
      <w:r w:rsidDel="00000000" w:rsidR="00000000" w:rsidRPr="00000000">
        <w:rPr>
          <w:rFonts w:ascii="Arial" w:cs="Arial" w:eastAsia="Arial" w:hAnsi="Arial"/>
          <w:rtl w:val="0"/>
        </w:rPr>
        <w:t xml:space="preserve"> A la hora acordada, traslado al aeropuerto para tomar su vuelo de salida. </w:t>
      </w:r>
    </w:p>
    <w:p w:rsidR="00000000" w:rsidDel="00000000" w:rsidP="00000000" w:rsidRDefault="00000000" w:rsidRPr="00000000" w14:paraId="0000001F">
      <w:pPr>
        <w:spacing w:after="0" w:lineRule="auto"/>
        <w:ind w:right="-705"/>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Rule="auto"/>
        <w:ind w:right="-705"/>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 de nuestros servicios.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i w:val="0"/>
          <w:smallCaps w:val="0"/>
          <w:strike w:val="0"/>
          <w:sz w:val="24"/>
          <w:szCs w:val="24"/>
          <w:u w:val="none"/>
          <w:shd w:fill="auto" w:val="clear"/>
          <w:vertAlign w:val="baseline"/>
        </w:rPr>
      </w:pPr>
      <w:bookmarkStart w:colFirst="0" w:colLast="0" w:name="_heading=h.d5fatak7t1hr" w:id="2"/>
      <w:bookmarkEnd w:id="2"/>
      <w:r w:rsidDel="00000000" w:rsidR="00000000" w:rsidRPr="00000000">
        <w:rPr>
          <w:rFonts w:ascii="VAGRundschriftDLig" w:cs="VAGRundschriftDLig" w:eastAsia="VAGRundschriftDLig" w:hAnsi="VAGRundschriftDLig"/>
          <w:b w:val="1"/>
          <w:i w:val="0"/>
          <w:smallCaps w:val="0"/>
          <w:strike w:val="0"/>
          <w:sz w:val="24"/>
          <w:szCs w:val="24"/>
          <w:u w:val="none"/>
          <w:shd w:fill="auto" w:val="clear"/>
          <w:vertAlign w:val="baseline"/>
          <w:rtl w:val="0"/>
        </w:rPr>
        <w:t xml:space="preserve">TARIFA POR PERSONAS EN DÓLARES AMERICANOS</w:t>
      </w:r>
    </w:p>
    <w:p w:rsidR="00000000" w:rsidDel="00000000" w:rsidP="00000000" w:rsidRDefault="00000000" w:rsidRPr="00000000" w14:paraId="00000025">
      <w:pPr>
        <w:numPr>
          <w:ilvl w:val="0"/>
          <w:numId w:val="4"/>
        </w:numPr>
        <w:spacing w:after="0" w:line="240" w:lineRule="auto"/>
        <w:ind w:left="425.19685039370086" w:hanging="360"/>
        <w:rPr>
          <w:rFonts w:ascii="Arial" w:cs="Arial" w:eastAsia="Arial" w:hAnsi="Arial"/>
        </w:rPr>
      </w:pPr>
      <w:r w:rsidDel="00000000" w:rsidR="00000000" w:rsidRPr="00000000">
        <w:rPr>
          <w:rFonts w:ascii="Arial" w:cs="Arial" w:eastAsia="Arial" w:hAnsi="Arial"/>
          <w:rtl w:val="0"/>
        </w:rPr>
        <w:t xml:space="preserve">La validez de las tarifas publicadas aplica hasta máximo el último día indicado en la vigencia.</w:t>
      </w:r>
    </w:p>
    <w:p w:rsidR="00000000" w:rsidDel="00000000" w:rsidP="00000000" w:rsidRDefault="00000000" w:rsidRPr="00000000" w14:paraId="00000026">
      <w:pPr>
        <w:numPr>
          <w:ilvl w:val="0"/>
          <w:numId w:val="4"/>
        </w:numPr>
        <w:spacing w:after="0" w:line="240" w:lineRule="auto"/>
        <w:ind w:left="425.19685039370086" w:hanging="360"/>
        <w:rPr>
          <w:rFonts w:ascii="Arial" w:cs="Arial" w:eastAsia="Arial" w:hAnsi="Arial"/>
        </w:rPr>
      </w:pPr>
      <w:r w:rsidDel="00000000" w:rsidR="00000000" w:rsidRPr="00000000">
        <w:rPr>
          <w:rFonts w:ascii="Arial" w:cs="Arial" w:eastAsia="Arial" w:hAnsi="Arial"/>
          <w:rtl w:val="0"/>
        </w:rPr>
        <w:t xml:space="preserve">Hoteles previstos o de categoría similar.</w:t>
      </w:r>
    </w:p>
    <w:p w:rsidR="00000000" w:rsidDel="00000000" w:rsidP="00000000" w:rsidRDefault="00000000" w:rsidRPr="00000000" w14:paraId="00000027">
      <w:pPr>
        <w:numPr>
          <w:ilvl w:val="0"/>
          <w:numId w:val="4"/>
        </w:numPr>
        <w:spacing w:after="0" w:line="240" w:lineRule="auto"/>
        <w:ind w:left="425.19685039370086" w:hanging="360"/>
        <w:rPr>
          <w:rFonts w:ascii="Arial" w:cs="Arial" w:eastAsia="Arial" w:hAnsi="Arial"/>
        </w:rPr>
      </w:pPr>
      <w:r w:rsidDel="00000000" w:rsidR="00000000" w:rsidRPr="00000000">
        <w:rPr>
          <w:rFonts w:ascii="Arial" w:cs="Arial" w:eastAsia="Arial" w:hAnsi="Arial"/>
          <w:rtl w:val="0"/>
        </w:rPr>
        <w:t xml:space="preserve">Precios sujetos a cambio sin previo aviso.</w:t>
      </w:r>
    </w:p>
    <w:p w:rsidR="00000000" w:rsidDel="00000000" w:rsidP="00000000" w:rsidRDefault="00000000" w:rsidRPr="00000000" w14:paraId="00000028">
      <w:pPr>
        <w:numPr>
          <w:ilvl w:val="0"/>
          <w:numId w:val="4"/>
        </w:numPr>
        <w:spacing w:after="0" w:line="240" w:lineRule="auto"/>
        <w:ind w:left="425.19685039370086" w:hanging="360"/>
        <w:rPr>
          <w:rFonts w:ascii="Arial" w:cs="Arial" w:eastAsia="Arial" w:hAnsi="Arial"/>
        </w:rPr>
      </w:pPr>
      <w:r w:rsidDel="00000000" w:rsidR="00000000" w:rsidRPr="00000000">
        <w:rPr>
          <w:rFonts w:ascii="Arial" w:cs="Arial" w:eastAsia="Arial" w:hAnsi="Arial"/>
          <w:rtl w:val="0"/>
        </w:rPr>
        <w:t xml:space="preserve">Aplican gastos de cancelación según condiciones generales sin excepción.</w:t>
      </w:r>
    </w:p>
    <w:p w:rsidR="00000000" w:rsidDel="00000000" w:rsidP="00000000" w:rsidRDefault="00000000" w:rsidRPr="00000000" w14:paraId="00000029">
      <w:pPr>
        <w:numPr>
          <w:ilvl w:val="0"/>
          <w:numId w:val="4"/>
        </w:numPr>
        <w:spacing w:after="0" w:line="240" w:lineRule="auto"/>
        <w:ind w:left="425.19685039370086" w:hanging="360"/>
        <w:rPr>
          <w:rFonts w:ascii="Arial" w:cs="Arial" w:eastAsia="Arial" w:hAnsi="Arial"/>
        </w:rPr>
      </w:pPr>
      <w:r w:rsidDel="00000000" w:rsidR="00000000" w:rsidRPr="00000000">
        <w:rPr>
          <w:rFonts w:ascii="Arial" w:cs="Arial" w:eastAsia="Arial" w:hAnsi="Arial"/>
          <w:rtl w:val="0"/>
        </w:rPr>
        <w:t xml:space="preserve">Tarifa de niño a consultar.</w:t>
      </w:r>
    </w:p>
    <w:p w:rsidR="00000000" w:rsidDel="00000000" w:rsidP="00000000" w:rsidRDefault="00000000" w:rsidRPr="00000000" w14:paraId="0000002A">
      <w:pPr>
        <w:numPr>
          <w:ilvl w:val="0"/>
          <w:numId w:val="4"/>
        </w:numPr>
        <w:spacing w:after="0" w:line="240" w:lineRule="auto"/>
        <w:ind w:left="425.19685039370086" w:hanging="360"/>
        <w:rPr>
          <w:rFonts w:ascii="Arial" w:cs="Arial" w:eastAsia="Arial" w:hAnsi="Arial"/>
        </w:rPr>
      </w:pPr>
      <w:r w:rsidDel="00000000" w:rsidR="00000000" w:rsidRPr="00000000">
        <w:rPr>
          <w:rFonts w:ascii="Arial" w:cs="Arial" w:eastAsia="Arial" w:hAnsi="Arial"/>
          <w:rtl w:val="0"/>
        </w:rPr>
        <w:t xml:space="preserve">N.A: Noche Adicional</w:t>
      </w:r>
    </w:p>
    <w:p w:rsidR="00000000" w:rsidDel="00000000" w:rsidP="00000000" w:rsidRDefault="00000000" w:rsidRPr="00000000" w14:paraId="0000002B">
      <w:pPr>
        <w:numPr>
          <w:ilvl w:val="0"/>
          <w:numId w:val="4"/>
        </w:numPr>
        <w:spacing w:after="0" w:line="240" w:lineRule="auto"/>
        <w:ind w:left="425.19685039370086" w:hanging="360"/>
        <w:rPr>
          <w:rFonts w:ascii="Arial" w:cs="Arial" w:eastAsia="Arial" w:hAnsi="Arial"/>
          <w:u w:val="none"/>
        </w:rPr>
      </w:pPr>
      <w:r w:rsidDel="00000000" w:rsidR="00000000" w:rsidRPr="00000000">
        <w:rPr>
          <w:rFonts w:ascii="Arial" w:cs="Arial" w:eastAsia="Arial" w:hAnsi="Arial"/>
          <w:rtl w:val="0"/>
        </w:rPr>
        <w:t xml:space="preserve">Aplica suplemento para pasajero viajando sólo. Consultar</w:t>
      </w:r>
      <w:r w:rsidDel="00000000" w:rsidR="00000000" w:rsidRPr="00000000">
        <w:rPr>
          <w:rtl w:val="0"/>
        </w:rPr>
      </w:r>
    </w:p>
    <w:p w:rsidR="00000000" w:rsidDel="00000000" w:rsidP="00000000" w:rsidRDefault="00000000" w:rsidRPr="00000000" w14:paraId="0000002C">
      <w:pPr>
        <w:spacing w:after="0" w:line="240" w:lineRule="auto"/>
        <w:ind w:left="720" w:firstLine="0"/>
        <w:rPr>
          <w:rFonts w:ascii="Arial" w:cs="Arial" w:eastAsia="Arial" w:hAnsi="Arial"/>
        </w:rPr>
      </w:pPr>
      <w:r w:rsidDel="00000000" w:rsidR="00000000" w:rsidRPr="00000000">
        <w:rPr>
          <w:rtl w:val="0"/>
        </w:rPr>
      </w:r>
    </w:p>
    <w:sdt>
      <w:sdtPr>
        <w:lock w:val="contentLocked"/>
        <w:tag w:val="goog_rdk_0"/>
      </w:sdtPr>
      <w:sdtContent>
        <w:tbl>
          <w:tblPr>
            <w:tblStyle w:val="Table1"/>
            <w:tblW w:w="8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2325"/>
            <w:gridCol w:w="790"/>
            <w:gridCol w:w="790"/>
            <w:gridCol w:w="790"/>
            <w:gridCol w:w="790"/>
            <w:gridCol w:w="790"/>
            <w:gridCol w:w="790"/>
            <w:tblGridChange w:id="0">
              <w:tblGrid>
                <w:gridCol w:w="1710"/>
                <w:gridCol w:w="2325"/>
                <w:gridCol w:w="790"/>
                <w:gridCol w:w="790"/>
                <w:gridCol w:w="790"/>
                <w:gridCol w:w="790"/>
                <w:gridCol w:w="790"/>
                <w:gridCol w:w="790"/>
              </w:tblGrid>
            </w:tblGridChange>
          </w:tblGrid>
          <w:tr>
            <w:trPr>
              <w:cantSplit w:val="0"/>
              <w:trHeight w:val="735"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HOTEL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VIGENCIA</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SGL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DBL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TPL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N.A SGL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N.A DBL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N.A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TPL</w:t>
                </w:r>
              </w:p>
            </w:tc>
          </w:tr>
          <w:tr>
            <w:trPr>
              <w:cantSplit w:val="0"/>
              <w:trHeight w:val="480"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Sierra Nevada 3* </w:t>
                </w:r>
                <w:r w:rsidDel="00000000" w:rsidR="00000000" w:rsidRPr="00000000">
                  <w:rPr>
                    <w:rFonts w:ascii="Arial" w:cs="Arial" w:eastAsia="Arial" w:hAnsi="Arial"/>
                    <w:i w:val="1"/>
                    <w:sz w:val="20"/>
                    <w:szCs w:val="20"/>
                    <w:rtl w:val="0"/>
                  </w:rPr>
                  <w:t xml:space="preserve">Habitación Standard</w:t>
                </w:r>
                <w:r w:rsidDel="00000000" w:rsidR="00000000" w:rsidRPr="00000000">
                  <w:rPr>
                    <w:rFonts w:ascii="Arial" w:cs="Arial" w:eastAsia="Arial" w:hAnsi="Arial"/>
                    <w:sz w:val="20"/>
                    <w:szCs w:val="20"/>
                    <w:rtl w:val="0"/>
                  </w:rPr>
                  <w:t xml:space="preserv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01/05/2024 - 30/09/2024</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01/10/2024 - 31/10/2024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01/11/2024 - 31/03/2025</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r>
          <w:tr>
            <w:trPr>
              <w:cantSplit w:val="0"/>
              <w:trHeight w:val="480" w:hRule="atLeast"/>
              <w:tblHeader w:val="0"/>
            </w:trPr>
            <w:tc>
              <w:tcPr>
                <w:vMerge w:val="restart"/>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76" w:lineRule="auto"/>
                  <w:jc w:val="center"/>
                  <w:rPr>
                    <w:rFonts w:ascii="Arial" w:cs="Arial" w:eastAsia="Arial" w:hAnsi="Arial"/>
                    <w:i w:val="1"/>
                    <w:sz w:val="20"/>
                    <w:szCs w:val="20"/>
                  </w:rPr>
                </w:pPr>
                <w:r w:rsidDel="00000000" w:rsidR="00000000" w:rsidRPr="00000000">
                  <w:rPr>
                    <w:rFonts w:ascii="Arial" w:cs="Arial" w:eastAsia="Arial" w:hAnsi="Arial"/>
                    <w:sz w:val="20"/>
                    <w:szCs w:val="20"/>
                    <w:rtl w:val="0"/>
                  </w:rPr>
                  <w:t xml:space="preserve">Esplendor Calafate 4* </w:t>
                </w:r>
                <w:r w:rsidDel="00000000" w:rsidR="00000000" w:rsidRPr="00000000">
                  <w:rPr>
                    <w:rFonts w:ascii="Arial" w:cs="Arial" w:eastAsia="Arial" w:hAnsi="Arial"/>
                    <w:i w:val="1"/>
                    <w:sz w:val="20"/>
                    <w:szCs w:val="20"/>
                    <w:rtl w:val="0"/>
                  </w:rPr>
                  <w:t xml:space="preserve">Habitación Concept.</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4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01/05/2024 - 31/05/2024</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880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14/08/2024 - 30/09/2024</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880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01/10/2024 - 31/10/2024</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1060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520</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01/11/2024 - 31/12/2024</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1130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540</w:t>
                </w:r>
              </w:p>
            </w:tc>
            <w:tc>
              <w:tcPr>
                <w:tcBorders>
                  <w:top w:color="cccccc" w:space="0" w:sz="5" w:val="single"/>
                  <w:left w:color="000000"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170</w:t>
                </w:r>
              </w:p>
            </w:tc>
            <w:tc>
              <w:tcPr>
                <w:tcBorders>
                  <w:top w:color="cccccc" w:space="0" w:sz="5" w:val="single"/>
                  <w:left w:color="cccccc" w:space="0" w:sz="5" w:val="single"/>
                  <w:bottom w:color="000000" w:space="0" w:sz="5" w:val="single"/>
                  <w:right w:color="000000" w:space="0" w:sz="5" w:val="single"/>
                </w:tcBorders>
                <w:shd w:fill="d9d9d9"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r>
          <w:tr>
            <w:trPr>
              <w:cantSplit w:val="0"/>
              <w:trHeight w:val="480"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spacing w:after="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widowControl w:val="0"/>
                  <w:spacing w:after="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Rochester Calafate 4*</w:t>
                </w:r>
              </w:p>
              <w:p w:rsidR="00000000" w:rsidDel="00000000" w:rsidP="00000000" w:rsidRDefault="00000000" w:rsidRPr="00000000" w14:paraId="0000007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Habitación Estándar</w:t>
                </w:r>
                <w:r w:rsidDel="00000000" w:rsidR="00000000" w:rsidRPr="00000000">
                  <w:rPr>
                    <w:rtl w:val="0"/>
                  </w:rPr>
                </w:r>
              </w:p>
              <w:p w:rsidR="00000000" w:rsidDel="00000000" w:rsidP="00000000" w:rsidRDefault="00000000" w:rsidRPr="00000000" w14:paraId="00000072">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03/04/2024 - 14/06/2024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15/06/2024 - 23/06/2024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24/06/2024 - 30/06/2024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01/07/2024 - 14/07/2024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15/07/2024 - 31/07/2024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01/08/2024 - 30/09/2024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01/10/2024 - 10/10/2024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11/10/2024 - 14/10/2024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15/10/2024 - 15/11/2024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16/11/2024 - 18/11/2024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19/11/2024 - 30/11/2024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01/12/2024 - 30/12/2024</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31/12/2024 - 05/01/2025</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1090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sdtContent>
    </w:sdt>
    <w:p w:rsidR="00000000" w:rsidDel="00000000" w:rsidP="00000000" w:rsidRDefault="00000000" w:rsidRPr="00000000" w14:paraId="000000DA">
      <w:pPr>
        <w:rPr>
          <w:rFonts w:ascii="Trebuchet MS" w:cs="Trebuchet MS" w:eastAsia="Trebuchet MS" w:hAnsi="Trebuchet MS"/>
          <w:b w:val="1"/>
          <w:color w:val="ef4123"/>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ef4123"/>
          <w:sz w:val="22"/>
          <w:szCs w:val="22"/>
          <w:u w:val="none"/>
          <w:shd w:fill="auto" w:val="clear"/>
          <w:vertAlign w:val="baseline"/>
        </w:rPr>
      </w:pPr>
      <w:bookmarkStart w:colFirst="0" w:colLast="0" w:name="_heading=h.xv4y7stwo8z1" w:id="3"/>
      <w:bookmarkEnd w:id="3"/>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i w:val="0"/>
          <w:smallCaps w:val="0"/>
          <w:strike w:val="0"/>
          <w:color w:val="ef4123"/>
          <w:sz w:val="24"/>
          <w:szCs w:val="24"/>
          <w:u w:val="none"/>
          <w:shd w:fill="auto" w:val="clear"/>
          <w:vertAlign w:val="baseline"/>
        </w:rPr>
      </w:pPr>
      <w:bookmarkStart w:colFirst="0" w:colLast="0" w:name="_heading=h.b8abvd9pd173" w:id="4"/>
      <w:bookmarkEnd w:id="4"/>
      <w:r w:rsidDel="00000000" w:rsidR="00000000" w:rsidRPr="00000000">
        <w:rPr>
          <w:rFonts w:ascii="VAGRundschriftDLig" w:cs="VAGRundschriftDLig" w:eastAsia="VAGRundschriftDLig" w:hAnsi="VAGRundschriftDLig"/>
          <w:b w:val="1"/>
          <w:i w:val="0"/>
          <w:smallCaps w:val="0"/>
          <w:strike w:val="0"/>
          <w:color w:val="ef4123"/>
          <w:sz w:val="24"/>
          <w:szCs w:val="24"/>
          <w:u w:val="none"/>
          <w:shd w:fill="auto" w:val="clear"/>
          <w:vertAlign w:val="baseline"/>
          <w:rtl w:val="0"/>
        </w:rPr>
        <w:t xml:space="preserve">EL VIAJE INCLUYE:</w:t>
      </w:r>
    </w:p>
    <w:p w:rsidR="00000000" w:rsidDel="00000000" w:rsidP="00000000" w:rsidRDefault="00000000" w:rsidRPr="00000000" w14:paraId="000000DD">
      <w:pPr>
        <w:numPr>
          <w:ilvl w:val="0"/>
          <w:numId w:val="5"/>
        </w:numPr>
        <w:spacing w:after="0" w:line="288" w:lineRule="auto"/>
        <w:ind w:left="566.9291338582675" w:hanging="425.1968503937007"/>
        <w:rPr>
          <w:rFonts w:ascii="Arial" w:cs="Arial" w:eastAsia="Arial" w:hAnsi="Arial"/>
        </w:rPr>
      </w:pPr>
      <w:r w:rsidDel="00000000" w:rsidR="00000000" w:rsidRPr="00000000">
        <w:rPr>
          <w:rFonts w:ascii="Arial" w:cs="Arial" w:eastAsia="Arial" w:hAnsi="Arial"/>
          <w:highlight w:val="white"/>
          <w:rtl w:val="0"/>
        </w:rPr>
        <w:t xml:space="preserve">Traslados Aeropuerto / Hotel seleccionado / Aeropuerto en servicio privado</w:t>
      </w:r>
      <w:r w:rsidDel="00000000" w:rsidR="00000000" w:rsidRPr="00000000">
        <w:rPr>
          <w:rtl w:val="0"/>
        </w:rPr>
      </w:r>
    </w:p>
    <w:p w:rsidR="00000000" w:rsidDel="00000000" w:rsidP="00000000" w:rsidRDefault="00000000" w:rsidRPr="00000000" w14:paraId="000000DE">
      <w:pPr>
        <w:numPr>
          <w:ilvl w:val="0"/>
          <w:numId w:val="5"/>
        </w:numPr>
        <w:spacing w:after="0" w:line="288" w:lineRule="auto"/>
        <w:ind w:left="566.9291338582675" w:hanging="425.1968503937007"/>
        <w:rPr>
          <w:rFonts w:ascii="Arial" w:cs="Arial" w:eastAsia="Arial" w:hAnsi="Arial"/>
        </w:rPr>
      </w:pPr>
      <w:r w:rsidDel="00000000" w:rsidR="00000000" w:rsidRPr="00000000">
        <w:rPr>
          <w:rFonts w:ascii="Arial" w:cs="Arial" w:eastAsia="Arial" w:hAnsi="Arial"/>
          <w:highlight w:val="white"/>
          <w:rtl w:val="0"/>
        </w:rPr>
        <w:t xml:space="preserve">3 noches de alojamiento en el hotel seleccionado con desayuno.</w:t>
      </w:r>
      <w:r w:rsidDel="00000000" w:rsidR="00000000" w:rsidRPr="00000000">
        <w:rPr>
          <w:rtl w:val="0"/>
        </w:rPr>
      </w:r>
    </w:p>
    <w:p w:rsidR="00000000" w:rsidDel="00000000" w:rsidP="00000000" w:rsidRDefault="00000000" w:rsidRPr="00000000" w14:paraId="000000DF">
      <w:pPr>
        <w:numPr>
          <w:ilvl w:val="0"/>
          <w:numId w:val="5"/>
        </w:numPr>
        <w:spacing w:after="0" w:line="288" w:lineRule="auto"/>
        <w:ind w:left="566.9291338582675" w:hanging="425.1968503937007"/>
        <w:rPr>
          <w:rFonts w:ascii="Arial" w:cs="Arial" w:eastAsia="Arial" w:hAnsi="Arial"/>
        </w:rPr>
      </w:pPr>
      <w:r w:rsidDel="00000000" w:rsidR="00000000" w:rsidRPr="00000000">
        <w:rPr>
          <w:rFonts w:ascii="Arial" w:cs="Arial" w:eastAsia="Arial" w:hAnsi="Arial"/>
          <w:highlight w:val="white"/>
          <w:rtl w:val="0"/>
        </w:rPr>
        <w:t xml:space="preserve">Excursión: Glaciar Perito Moreno. (Incluye Entrada al Parque).</w:t>
      </w:r>
      <w:r w:rsidDel="00000000" w:rsidR="00000000" w:rsidRPr="00000000">
        <w:rPr>
          <w:rtl w:val="0"/>
        </w:rPr>
      </w:r>
    </w:p>
    <w:p w:rsidR="00000000" w:rsidDel="00000000" w:rsidP="00000000" w:rsidRDefault="00000000" w:rsidRPr="00000000" w14:paraId="000000E0">
      <w:pPr>
        <w:numPr>
          <w:ilvl w:val="0"/>
          <w:numId w:val="5"/>
        </w:numPr>
        <w:spacing w:after="0" w:line="288" w:lineRule="auto"/>
        <w:ind w:left="566.9291338582675" w:hanging="425.1968503937007"/>
        <w:rPr>
          <w:rFonts w:ascii="Arial" w:cs="Arial" w:eastAsia="Arial" w:hAnsi="Arial"/>
          <w:highlight w:val="white"/>
        </w:rPr>
      </w:pPr>
      <w:r w:rsidDel="00000000" w:rsidR="00000000" w:rsidRPr="00000000">
        <w:rPr>
          <w:rFonts w:ascii="Arial" w:cs="Arial" w:eastAsia="Arial" w:hAnsi="Arial"/>
          <w:highlight w:val="white"/>
          <w:rtl w:val="0"/>
        </w:rPr>
        <w:t xml:space="preserve">Asistencia médica (Aplica suplemento para mayores de 70 años)</w:t>
      </w:r>
    </w:p>
    <w:p w:rsidR="00000000" w:rsidDel="00000000" w:rsidP="00000000" w:rsidRDefault="00000000" w:rsidRPr="00000000" w14:paraId="000000E1">
      <w:pPr>
        <w:spacing w:after="0" w:line="288" w:lineRule="auto"/>
        <w:ind w:left="377" w:firstLine="0"/>
        <w:rPr>
          <w:rFonts w:ascii="Arial" w:cs="Arial" w:eastAsia="Arial" w:hAnsi="Arial"/>
          <w:color w:val="333333"/>
          <w:highlight w:val="whit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i w:val="0"/>
          <w:smallCaps w:val="0"/>
          <w:strike w:val="0"/>
          <w:color w:val="ef4123"/>
          <w:sz w:val="24"/>
          <w:szCs w:val="24"/>
          <w:u w:val="none"/>
          <w:shd w:fill="auto" w:val="clear"/>
          <w:vertAlign w:val="baseline"/>
        </w:rPr>
      </w:pPr>
      <w:bookmarkStart w:colFirst="0" w:colLast="0" w:name="_heading=h.dbdu23sethqh" w:id="5"/>
      <w:bookmarkEnd w:id="5"/>
      <w:r w:rsidDel="00000000" w:rsidR="00000000" w:rsidRPr="00000000">
        <w:rPr>
          <w:rFonts w:ascii="VAGRundschriftDLig" w:cs="VAGRundschriftDLig" w:eastAsia="VAGRundschriftDLig" w:hAnsi="VAGRundschriftDLig"/>
          <w:b w:val="1"/>
          <w:i w:val="0"/>
          <w:smallCaps w:val="0"/>
          <w:strike w:val="0"/>
          <w:color w:val="ef4123"/>
          <w:sz w:val="24"/>
          <w:szCs w:val="24"/>
          <w:u w:val="none"/>
          <w:shd w:fill="auto" w:val="clear"/>
          <w:vertAlign w:val="baseline"/>
          <w:rtl w:val="0"/>
        </w:rPr>
        <w:t xml:space="preserve">EL VIAJE NO INCLUYE:</w:t>
      </w:r>
    </w:p>
    <w:p w:rsidR="00000000" w:rsidDel="00000000" w:rsidP="00000000" w:rsidRDefault="00000000" w:rsidRPr="00000000" w14:paraId="000000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Boletos de avión</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Tasas de aeropuerto.</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Tasa turística.</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Alimentación no estipulada en los itinerarios.</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Propinas.</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Traslados donde no esté contemplado.</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Extras de ningún tipo en los hoteles.</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Excesos de equipaje.</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Gastos de índole personal.</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Gastos médicos.</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rPr>
      </w:pPr>
      <w:r w:rsidDel="00000000" w:rsidR="00000000" w:rsidRPr="00000000">
        <w:rPr>
          <w:rFonts w:ascii="Arial" w:cs="Arial" w:eastAsia="Arial" w:hAnsi="Arial"/>
          <w:rtl w:val="0"/>
        </w:rPr>
        <w:t xml:space="preserve">Servicios, visitas y entradas  no descritos en el itinerario.</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97" w:right="0" w:firstLine="0"/>
        <w:jc w:val="left"/>
        <w:rPr>
          <w:rFonts w:ascii="Trebuchet MS" w:cs="Trebuchet MS" w:eastAsia="Trebuchet MS" w:hAnsi="Trebuchet MS"/>
          <w:b w:val="1"/>
          <w:i w:val="0"/>
          <w:smallCaps w:val="0"/>
          <w:strike w:val="0"/>
          <w:color w:val="ef41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pStyle w:val="Title"/>
        <w:spacing w:after="0" w:before="113" w:line="288" w:lineRule="auto"/>
        <w:rPr>
          <w:rFonts w:ascii="Arial" w:cs="Arial" w:eastAsia="Arial" w:hAnsi="Arial"/>
          <w:color w:val="ef4123"/>
          <w:sz w:val="22"/>
          <w:szCs w:val="22"/>
        </w:rPr>
      </w:pPr>
      <w:bookmarkStart w:colFirst="0" w:colLast="0" w:name="_heading=h.tcn77qvswp0f" w:id="6"/>
      <w:bookmarkEnd w:id="6"/>
      <w:r w:rsidDel="00000000" w:rsidR="00000000" w:rsidRPr="00000000">
        <w:rPr>
          <w:rFonts w:ascii="Arial" w:cs="Arial" w:eastAsia="Arial" w:hAnsi="Arial"/>
          <w:color w:val="ef4123"/>
          <w:sz w:val="22"/>
          <w:szCs w:val="22"/>
          <w:rtl w:val="0"/>
        </w:rPr>
        <w:t xml:space="preserve">CONDICIONES GENERALES</w:t>
      </w:r>
    </w:p>
    <w:p w:rsidR="00000000" w:rsidDel="00000000" w:rsidP="00000000" w:rsidRDefault="00000000" w:rsidRPr="00000000" w14:paraId="000000F0">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 reserva de cupos se requiere un depósito del 30% del valor total por persona (pagaderos en pesos mexicanos), no reembolsables en caso de cancelación de viaje y/o cambio de fecha.</w:t>
      </w:r>
    </w:p>
    <w:p w:rsidR="00000000" w:rsidDel="00000000" w:rsidP="00000000" w:rsidRDefault="00000000" w:rsidRPr="00000000" w14:paraId="000000F1">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valor total del programa corresponderá al día 35 antes de la fecha del viaje y se liquidará al tipo de cambio que expida el Banco de México este día.</w:t>
      </w:r>
    </w:p>
    <w:p w:rsidR="00000000" w:rsidDel="00000000" w:rsidP="00000000" w:rsidRDefault="00000000" w:rsidRPr="00000000" w14:paraId="000000F2">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están incluidos los boletos de avión</w:t>
      </w:r>
    </w:p>
    <w:p w:rsidR="00000000" w:rsidDel="00000000" w:rsidP="00000000" w:rsidRDefault="00000000" w:rsidRPr="00000000" w14:paraId="000000F3">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check-in en la aerolínea es responsabilidad del cliente y la agencia de viajes correspondiente, Gente Mayorista México no se responsabiliza de este trámite.</w:t>
      </w:r>
    </w:p>
    <w:p w:rsidR="00000000" w:rsidDel="00000000" w:rsidP="00000000" w:rsidRDefault="00000000" w:rsidRPr="00000000" w14:paraId="000000F4">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traslados de entrada y salida aeropuerto-hotel-aeropuerto se realizarán de acuerdo al itinerario enviado.</w:t>
      </w:r>
    </w:p>
    <w:p w:rsidR="00000000" w:rsidDel="00000000" w:rsidP="00000000" w:rsidRDefault="00000000" w:rsidRPr="00000000" w14:paraId="000000F5">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plan es no reembolsable, no endosable y no revisable.</w:t>
      </w:r>
    </w:p>
    <w:p w:rsidR="00000000" w:rsidDel="00000000" w:rsidP="00000000" w:rsidRDefault="00000000" w:rsidRPr="00000000" w14:paraId="000000F6">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itinerario y los hoteles pueden variar por situaciones ajenas a nuestra voluntad, tales como ferias, fiestas nacionales, eventos especiales, huelgas o algún factor natural.</w:t>
      </w:r>
    </w:p>
    <w:p w:rsidR="00000000" w:rsidDel="00000000" w:rsidP="00000000" w:rsidRDefault="00000000" w:rsidRPr="00000000" w14:paraId="000000F7">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hoteles pueden cambiar de acuerdo a disponibilidad, por similares y de la misma categoría.</w:t>
      </w:r>
    </w:p>
    <w:p w:rsidR="00000000" w:rsidDel="00000000" w:rsidP="00000000" w:rsidRDefault="00000000" w:rsidRPr="00000000" w14:paraId="000000F8">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visitas opcionales ofrecidas están sujetas a operación y/o cambios por eventualidades climáticas, situaciones ajenas a nuestra voluntad y/o número mínimo de pasajeros para operar.</w:t>
      </w:r>
    </w:p>
    <w:p w:rsidR="00000000" w:rsidDel="00000000" w:rsidP="00000000" w:rsidRDefault="00000000" w:rsidRPr="00000000" w14:paraId="000000F9">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habitaciones triples se confirman bajo solicitud previa (sujetas a confirmación).</w:t>
      </w:r>
    </w:p>
    <w:p w:rsidR="00000000" w:rsidDel="00000000" w:rsidP="00000000" w:rsidRDefault="00000000" w:rsidRPr="00000000" w14:paraId="000000FA">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habitaciones en el destino estarán disponibles a partir de las 3:30 hrs. de la tarde, hora local, independientemente de la hora de llegada del vuelo y el check out se realizará sobre las 12:00 del mediodía. Esto según políticas hoteleras.</w:t>
      </w:r>
    </w:p>
    <w:p w:rsidR="00000000" w:rsidDel="00000000" w:rsidP="00000000" w:rsidRDefault="00000000" w:rsidRPr="00000000" w14:paraId="000000FB">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itinerario del circuito puede sufrir modificaciones o cambios en el orden del programa sin previo aviso, manteniendo siempre el contenido y los servicios incluidos.</w:t>
      </w:r>
    </w:p>
    <w:p w:rsidR="00000000" w:rsidDel="00000000" w:rsidP="00000000" w:rsidRDefault="00000000" w:rsidRPr="00000000" w14:paraId="000000FC">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Gente Mayorista México no se hace responsable por los cambios operacionales que puedan tener las aerolíneas y que generen pérdida de servicios.</w:t>
      </w:r>
    </w:p>
    <w:p w:rsidR="00000000" w:rsidDel="00000000" w:rsidP="00000000" w:rsidRDefault="00000000" w:rsidRPr="00000000" w14:paraId="000000FD">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Cualquier visita y/o servicio dejado de tomar (por itinerarios de vuelos o decisión propia del pasajero), no será reembolsado.</w:t>
      </w:r>
    </w:p>
    <w:p w:rsidR="00000000" w:rsidDel="00000000" w:rsidP="00000000" w:rsidRDefault="00000000" w:rsidRPr="00000000" w14:paraId="000000FE">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ingreso a cada país será responsabilidad de las autoridades migratorias del mismo, Gente Mayorista México no se hará responsable, ni habrá lugar a reembolso alguno por servicios no disfrutados.</w:t>
      </w:r>
    </w:p>
    <w:p w:rsidR="00000000" w:rsidDel="00000000" w:rsidP="00000000" w:rsidRDefault="00000000" w:rsidRPr="00000000" w14:paraId="000000FF">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México serán responsables.</w:t>
      </w:r>
    </w:p>
    <w:p w:rsidR="00000000" w:rsidDel="00000000" w:rsidP="00000000" w:rsidRDefault="00000000" w:rsidRPr="00000000" w14:paraId="00000100">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pasajeros aceptan las condiciones aquí estipuladas desde el momento de hacer su reserva y son conscientes del pago obligatorio de propinas por concepto de los servicios prestados en cada destino antes de finalizar el viaje.</w:t>
      </w:r>
    </w:p>
    <w:p w:rsidR="00000000" w:rsidDel="00000000" w:rsidP="00000000" w:rsidRDefault="00000000" w:rsidRPr="00000000" w14:paraId="00000101">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y podrán ser pagados en Pesos MXN (Moneda Nacional) al tipo de cambio que rija 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rsidR="00000000" w:rsidDel="00000000" w:rsidP="00000000" w:rsidRDefault="00000000" w:rsidRPr="00000000" w14:paraId="00000102">
      <w:pPr>
        <w:widowControl w:val="0"/>
        <w:shd w:fill="ffffff" w:val="clear"/>
        <w:spacing w:after="220" w:line="240" w:lineRule="auto"/>
        <w:jc w:val="both"/>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103">
      <w:pPr>
        <w:widowControl w:val="0"/>
        <w:shd w:fill="ffffff" w:val="clear"/>
        <w:spacing w:after="220" w:line="240" w:lineRule="auto"/>
        <w:jc w:val="both"/>
        <w:rPr>
          <w:rFonts w:ascii="Arial" w:cs="Arial" w:eastAsia="Arial" w:hAnsi="Arial"/>
          <w:b w:val="1"/>
          <w:color w:val="ef4123"/>
        </w:rPr>
      </w:pPr>
      <w:r w:rsidDel="00000000" w:rsidR="00000000" w:rsidRPr="00000000">
        <w:rPr>
          <w:rFonts w:ascii="Arial" w:cs="Arial" w:eastAsia="Arial" w:hAnsi="Arial"/>
          <w:b w:val="1"/>
          <w:color w:val="ef4123"/>
          <w:rtl w:val="0"/>
        </w:rPr>
        <w:t xml:space="preserve">CLÁUSULA GASTOS DE CANCELACIÓN</w:t>
      </w:r>
    </w:p>
    <w:p w:rsidR="00000000" w:rsidDel="00000000" w:rsidP="00000000" w:rsidRDefault="00000000" w:rsidRPr="00000000" w14:paraId="00000104">
      <w:pPr>
        <w:widowControl w:val="0"/>
        <w:numPr>
          <w:ilvl w:val="0"/>
          <w:numId w:val="1"/>
        </w:numPr>
        <w:shd w:fill="ffffff" w:val="clea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Depósito</w:t>
      </w:r>
      <w:r w:rsidDel="00000000" w:rsidR="00000000" w:rsidRPr="00000000">
        <w:rPr>
          <w:rFonts w:ascii="Arial" w:cs="Arial" w:eastAsia="Arial" w:hAnsi="Arial"/>
          <w:sz w:val="20"/>
          <w:szCs w:val="20"/>
          <w:rtl w:val="0"/>
        </w:rPr>
        <w:t xml:space="preserve">: una vez recibido el depósito por persona (pagaderos en pesos mexicanos), el mismo no será reembolsable. 60 días antes de la fecha de viaje Gente Mayorista México deberá recibir un pago que cubra mínimo el 80% del valor total del viaje.</w:t>
      </w:r>
    </w:p>
    <w:p w:rsidR="00000000" w:rsidDel="00000000" w:rsidP="00000000" w:rsidRDefault="00000000" w:rsidRPr="00000000" w14:paraId="00000105">
      <w:pPr>
        <w:widowControl w:val="0"/>
        <w:numPr>
          <w:ilvl w:val="0"/>
          <w:numId w:val="1"/>
        </w:numPr>
        <w:shd w:fill="ffffff" w:val="clea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Pago total</w:t>
      </w:r>
      <w:r w:rsidDel="00000000" w:rsidR="00000000" w:rsidRPr="00000000">
        <w:rPr>
          <w:rFonts w:ascii="Arial" w:cs="Arial" w:eastAsia="Arial" w:hAnsi="Arial"/>
          <w:sz w:val="20"/>
          <w:szCs w:val="20"/>
          <w:rtl w:val="0"/>
        </w:rPr>
        <w:t xml:space="preserve">: se realizará el día 35 previo a la salida del viaje, este día Gente Mayorista México debe recibir el 100% del valor total del paquete (pagados en pesos mexicanos). De lo contrario Gente Mayorista de Turismo entenderá por DESISTIDO el viaje por parte del cliente y sin lugar a reembolso de los abonos realizados.</w:t>
      </w:r>
    </w:p>
    <w:p w:rsidR="00000000" w:rsidDel="00000000" w:rsidP="00000000" w:rsidRDefault="00000000" w:rsidRPr="00000000" w14:paraId="00000106">
      <w:pPr>
        <w:widowControl w:val="0"/>
        <w:numPr>
          <w:ilvl w:val="0"/>
          <w:numId w:val="1"/>
        </w:numPr>
        <w:shd w:fill="ffffff" w:val="clea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Tarifa:</w:t>
      </w:r>
      <w:r w:rsidDel="00000000" w:rsidR="00000000" w:rsidRPr="00000000">
        <w:rPr>
          <w:rFonts w:ascii="Arial" w:cs="Arial" w:eastAsia="Arial" w:hAnsi="Arial"/>
          <w:sz w:val="20"/>
          <w:szCs w:val="20"/>
          <w:rtl w:val="0"/>
        </w:rPr>
        <w:t xml:space="preserve"> Las tarifas aéreas, hoteleras y demás servicios del portafolio ofrecido por Gente Mayorista México pueden tener variación en cualquier momento ante posibles ajustes en impuestos y tasas por decisión de los operadores o aerolíneas involucrados en los servicios ofrecid</w:t>
      </w:r>
      <w:r w:rsidDel="00000000" w:rsidR="00000000" w:rsidRPr="00000000">
        <w:rPr>
          <w:rFonts w:ascii="Arial" w:cs="Arial" w:eastAsia="Arial" w:hAnsi="Arial"/>
          <w:sz w:val="23"/>
          <w:szCs w:val="23"/>
          <w:rtl w:val="0"/>
        </w:rPr>
        <w:t xml:space="preserve">os.</w:t>
      </w:r>
    </w:p>
    <w:p w:rsidR="00000000" w:rsidDel="00000000" w:rsidP="00000000" w:rsidRDefault="00000000" w:rsidRPr="00000000" w14:paraId="00000107">
      <w:pPr>
        <w:widowControl w:val="0"/>
        <w:shd w:fill="ffffff" w:val="clear"/>
        <w:spacing w:after="220" w:line="240" w:lineRule="auto"/>
        <w:jc w:val="both"/>
        <w:rPr>
          <w:rFonts w:ascii="Roboto" w:cs="Roboto" w:eastAsia="Roboto" w:hAnsi="Roboto"/>
          <w:color w:val="7a7a7a"/>
          <w:sz w:val="23"/>
          <w:szCs w:val="23"/>
        </w:rPr>
      </w:pPr>
      <w:r w:rsidDel="00000000" w:rsidR="00000000" w:rsidRPr="00000000">
        <w:rPr>
          <w:rtl w:val="0"/>
        </w:rPr>
      </w:r>
    </w:p>
    <w:p w:rsidR="00000000" w:rsidDel="00000000" w:rsidP="00000000" w:rsidRDefault="00000000" w:rsidRPr="00000000" w14:paraId="00000108">
      <w:pPr>
        <w:widowControl w:val="0"/>
        <w:shd w:fill="ffffff" w:val="clear"/>
        <w:spacing w:after="220" w:line="240" w:lineRule="auto"/>
        <w:jc w:val="both"/>
        <w:rPr>
          <w:rFonts w:ascii="Arial" w:cs="Arial" w:eastAsia="Arial" w:hAnsi="Arial"/>
          <w:b w:val="1"/>
          <w:color w:val="ef4123"/>
        </w:rPr>
      </w:pPr>
      <w:r w:rsidDel="00000000" w:rsidR="00000000" w:rsidRPr="00000000">
        <w:rPr>
          <w:rFonts w:ascii="Arial" w:cs="Arial" w:eastAsia="Arial" w:hAnsi="Arial"/>
          <w:b w:val="1"/>
          <w:color w:val="ef4123"/>
          <w:rtl w:val="0"/>
        </w:rPr>
        <w:t xml:space="preserve">CLÁUSULA DE RESPONSABILIDAD</w:t>
      </w:r>
    </w:p>
    <w:p w:rsidR="00000000" w:rsidDel="00000000" w:rsidP="00000000" w:rsidRDefault="00000000" w:rsidRPr="00000000" w14:paraId="00000109">
      <w:pPr>
        <w:widowControl w:val="0"/>
        <w:shd w:fill="ffffff" w:val="clear"/>
        <w:spacing w:after="220" w:line="240" w:lineRule="auto"/>
        <w:jc w:val="both"/>
        <w:rPr>
          <w:rFonts w:ascii="Arial" w:cs="Arial" w:eastAsia="Arial" w:hAnsi="Arial"/>
        </w:rPr>
      </w:pPr>
      <w:r w:rsidDel="00000000" w:rsidR="00000000" w:rsidRPr="00000000">
        <w:rPr>
          <w:rFonts w:ascii="Arial" w:cs="Arial" w:eastAsia="Arial" w:hAnsi="Arial"/>
          <w:rtl w:val="0"/>
        </w:rPr>
        <w:t xml:space="preserve">GENTE MAYORISTA DE TURISMO MÉXICO SA DE CV. con Registro Nacional de Turismo No. 04090101703 se hace responsable ante los usuarios por la total prestación de los servicios descritos en la cláusula de responsabilidad.</w:t>
      </w:r>
    </w:p>
    <w:p w:rsidR="00000000" w:rsidDel="00000000" w:rsidP="00000000" w:rsidRDefault="00000000" w:rsidRPr="00000000" w14:paraId="0000010A">
      <w:pPr>
        <w:widowControl w:val="0"/>
        <w:shd w:fill="ffffff" w:val="clear"/>
        <w:spacing w:after="220" w:line="240" w:lineRule="auto"/>
        <w:jc w:val="both"/>
        <w:rPr>
          <w:rFonts w:ascii="Arial" w:cs="Arial" w:eastAsia="Arial" w:hAnsi="Arial"/>
        </w:rPr>
      </w:pPr>
      <w:r w:rsidDel="00000000" w:rsidR="00000000" w:rsidRPr="00000000">
        <w:rPr>
          <w:rFonts w:ascii="Arial" w:cs="Arial" w:eastAsia="Arial" w:hAnsi="Arial"/>
          <w:rtl w:val="0"/>
        </w:rPr>
        <w:t xml:space="preserve">Para mayor información los invitamos a leer, revisar y firmar el contrato de mediación para la prestación de servicios turísticos que se celebra entre las partes.</w:t>
      </w:r>
    </w:p>
    <w:p w:rsidR="00000000" w:rsidDel="00000000" w:rsidP="00000000" w:rsidRDefault="00000000" w:rsidRPr="00000000" w14:paraId="0000010B">
      <w:pPr>
        <w:widowControl w:val="0"/>
        <w:shd w:fill="ffffff" w:val="clear"/>
        <w:spacing w:after="220" w:line="240" w:lineRule="auto"/>
        <w:jc w:val="both"/>
        <w:rPr>
          <w:rFonts w:ascii="Arial" w:cs="Arial" w:eastAsia="Arial" w:hAnsi="Arial"/>
          <w:b w:val="1"/>
        </w:rPr>
      </w:pPr>
      <w:r w:rsidDel="00000000" w:rsidR="00000000" w:rsidRPr="00000000">
        <w:rPr>
          <w:rFonts w:ascii="Arial" w:cs="Arial" w:eastAsia="Arial" w:hAnsi="Arial"/>
          <w:b w:val="1"/>
          <w:rtl w:val="0"/>
        </w:rPr>
        <w:t xml:space="preserve">DE DEVOLUCIONES Y OTROS</w:t>
      </w:r>
    </w:p>
    <w:p w:rsidR="00000000" w:rsidDel="00000000" w:rsidP="00000000" w:rsidRDefault="00000000" w:rsidRPr="00000000" w14:paraId="0000010C">
      <w:pPr>
        <w:widowControl w:val="0"/>
        <w:numPr>
          <w:ilvl w:val="0"/>
          <w:numId w:val="3"/>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responsabilidad del organizador del plan o paquete turístico ante los usuarios por la prestación y calidad de los servicios descritos de conformidad con los términos y condiciones establecidos en el programa.</w:t>
      </w:r>
    </w:p>
    <w:p w:rsidR="00000000" w:rsidDel="00000000" w:rsidP="00000000" w:rsidRDefault="00000000" w:rsidRPr="00000000" w14:paraId="0000010D">
      <w:pPr>
        <w:widowControl w:val="0"/>
        <w:numPr>
          <w:ilvl w:val="0"/>
          <w:numId w:val="3"/>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000000" w:rsidDel="00000000" w:rsidP="00000000" w:rsidRDefault="00000000" w:rsidRPr="00000000" w14:paraId="0000010E">
      <w:pPr>
        <w:widowControl w:val="0"/>
        <w:numPr>
          <w:ilvl w:val="0"/>
          <w:numId w:val="3"/>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sólo se comprometerán prestar los servicios y hacer las devoluciones según el caso.</w:t>
      </w:r>
    </w:p>
    <w:p w:rsidR="00000000" w:rsidDel="00000000" w:rsidP="00000000" w:rsidRDefault="00000000" w:rsidRPr="00000000" w14:paraId="0000010F">
      <w:pPr>
        <w:widowControl w:val="0"/>
        <w:numPr>
          <w:ilvl w:val="0"/>
          <w:numId w:val="3"/>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Circunstancias en las cuales la agencia de viajes se reserva el derecho de hacer cambios en el itinerario, fechas de viaje, hoteles de similar o superior categoría, transporte y los demás que sean necesarios para garantizar el éxito del viaje.</w:t>
      </w:r>
    </w:p>
    <w:p w:rsidR="00000000" w:rsidDel="00000000" w:rsidP="00000000" w:rsidRDefault="00000000" w:rsidRPr="00000000" w14:paraId="00000110">
      <w:pPr>
        <w:widowControl w:val="0"/>
        <w:numPr>
          <w:ilvl w:val="0"/>
          <w:numId w:val="3"/>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 obligación por parte de la agencia de viajes informar al viajero sobre la documentación requerida para facilitar su desplazamiento en los destinos nacionales e internacionales, siendo obligación del usuario el cumplimiento de los requisitos informados.</w:t>
      </w:r>
    </w:p>
    <w:p w:rsidR="00000000" w:rsidDel="00000000" w:rsidP="00000000" w:rsidRDefault="00000000" w:rsidRPr="00000000" w14:paraId="00000111">
      <w:pPr>
        <w:widowControl w:val="0"/>
        <w:numPr>
          <w:ilvl w:val="0"/>
          <w:numId w:val="3"/>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000000" w:rsidDel="00000000" w:rsidP="00000000" w:rsidRDefault="00000000" w:rsidRPr="00000000" w14:paraId="00000112">
      <w:pPr>
        <w:widowControl w:val="0"/>
        <w:numPr>
          <w:ilvl w:val="0"/>
          <w:numId w:val="3"/>
        </w:numPr>
        <w:shd w:fill="ffffff" w:val="clear"/>
        <w:spacing w:after="2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000000" w:rsidDel="00000000" w:rsidP="00000000" w:rsidRDefault="00000000" w:rsidRPr="00000000" w14:paraId="00000113">
      <w:pPr>
        <w:widowControl w:val="0"/>
        <w:shd w:fill="ffffff" w:val="clear"/>
        <w:spacing w:after="220" w:line="240" w:lineRule="auto"/>
        <w:jc w:val="both"/>
        <w:rPr>
          <w:rFonts w:ascii="Arial" w:cs="Arial" w:eastAsia="Arial" w:hAnsi="Arial"/>
          <w:b w:val="1"/>
        </w:rPr>
      </w:pPr>
      <w:r w:rsidDel="00000000" w:rsidR="00000000" w:rsidRPr="00000000">
        <w:rPr>
          <w:rFonts w:ascii="Arial" w:cs="Arial" w:eastAsia="Arial" w:hAnsi="Arial"/>
          <w:b w:val="1"/>
          <w:rtl w:val="0"/>
        </w:rPr>
        <w:t xml:space="preserve">TURISMO RESPONSABLE</w:t>
      </w:r>
    </w:p>
    <w:p w:rsidR="00000000" w:rsidDel="00000000" w:rsidP="00000000" w:rsidRDefault="00000000" w:rsidRPr="00000000" w14:paraId="00000114">
      <w:pPr>
        <w:widowControl w:val="0"/>
        <w:numPr>
          <w:ilvl w:val="0"/>
          <w:numId w:val="6"/>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000000" w:rsidDel="00000000" w:rsidP="00000000" w:rsidRDefault="00000000" w:rsidRPr="00000000" w14:paraId="00000115">
      <w:pPr>
        <w:widowControl w:val="0"/>
        <w:numPr>
          <w:ilvl w:val="0"/>
          <w:numId w:val="6"/>
        </w:numPr>
        <w:shd w:fill="ffffff" w:val="clear"/>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Se respeta la biodiversidad y se apoya la ley que previene y castiga todo acto que atente contra la vida de los animales. Promovemos la protección de la fauna silvestre, para evitar poner en peligro el medio ambiente.</w:t>
      </w:r>
    </w:p>
    <w:p w:rsidR="00000000" w:rsidDel="00000000" w:rsidP="00000000" w:rsidRDefault="00000000" w:rsidRPr="00000000" w14:paraId="00000116">
      <w:pPr>
        <w:widowControl w:val="0"/>
        <w:numPr>
          <w:ilvl w:val="0"/>
          <w:numId w:val="6"/>
        </w:numPr>
        <w:shd w:fill="ffffff" w:val="clear"/>
        <w:spacing w:after="2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Invitamos a valorar las costumbres, tradiciones y apoyar la economía local, respetar las áreas silvestres, patrimoniales, arqueológicas.</w:t>
      </w:r>
      <w:r w:rsidDel="00000000" w:rsidR="00000000" w:rsidRPr="00000000">
        <w:rPr>
          <w:rtl w:val="0"/>
        </w:rPr>
      </w:r>
    </w:p>
    <w:p w:rsidR="00000000" w:rsidDel="00000000" w:rsidP="00000000" w:rsidRDefault="00000000" w:rsidRPr="00000000" w14:paraId="00000117">
      <w:pPr>
        <w:spacing w:before="123" w:lineRule="auto"/>
        <w:ind w:left="2463" w:firstLine="0"/>
        <w:rPr>
          <w:rFonts w:ascii="Lucida Sans" w:cs="Lucida Sans" w:eastAsia="Lucida Sans" w:hAnsi="Lucida Sans"/>
          <w:sz w:val="23"/>
          <w:szCs w:val="23"/>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17" w:top="1417" w:left="1701" w:right="1615.866141732284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rebuchet MS"/>
  <w:font w:name="Courier New"/>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AGRundschriftDLi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-695321</wp:posOffset>
          </wp:positionH>
          <wp:positionV relativeFrom="paragraph">
            <wp:posOffset>38101</wp:posOffset>
          </wp:positionV>
          <wp:extent cx="1235802" cy="789540"/>
          <wp:effectExtent b="0" l="0" r="0" t="0"/>
          <wp:wrapNone/>
          <wp:docPr id="19668378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5802" cy="789540"/>
                  </a:xfrm>
                  <a:prstGeom prst="rect"/>
                  <a:ln/>
                </pic:spPr>
              </pic:pic>
            </a:graphicData>
          </a:graphic>
        </wp:anchor>
      </w:drawing>
    </w:r>
  </w:p>
  <w:p w:rsidR="00000000" w:rsidDel="00000000" w:rsidP="00000000" w:rsidRDefault="00000000" w:rsidRPr="00000000" w14:paraId="00000119">
    <w:pPr>
      <w:widowControl w:val="0"/>
      <w:spacing w:after="0" w:line="240" w:lineRule="auto"/>
      <w:ind w:right="-1050"/>
      <w:jc w:val="right"/>
      <w:rPr>
        <w:rFonts w:ascii="Calibri" w:cs="Calibri" w:eastAsia="Calibri" w:hAnsi="Calibri"/>
        <w:b w:val="0"/>
        <w:i w:val="0"/>
        <w:smallCaps w:val="0"/>
        <w:strike w:val="0"/>
        <w:color w:val="000000"/>
        <w:sz w:val="22"/>
        <w:szCs w:val="22"/>
        <w:shd w:fill="auto" w:val="clear"/>
        <w:vertAlign w:val="superscript"/>
      </w:rPr>
    </w:pPr>
    <w:r w:rsidDel="00000000" w:rsidR="00000000" w:rsidRPr="00000000">
      <w:rPr>
        <w:sz w:val="24"/>
        <w:szCs w:val="24"/>
        <w:vertAlign w:val="superscript"/>
        <w:rtl w:val="0"/>
      </w:rPr>
      <w:t xml:space="preserve">RNT 04090101703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77" w:hanging="360"/>
      </w:pPr>
      <w:rPr>
        <w:rFonts w:ascii="Noto Sans Symbols" w:cs="Noto Sans Symbols" w:eastAsia="Noto Sans Symbols" w:hAnsi="Noto Sans Symbols"/>
      </w:rPr>
    </w:lvl>
    <w:lvl w:ilvl="1">
      <w:start w:val="1"/>
      <w:numFmt w:val="bullet"/>
      <w:lvlText w:val="o"/>
      <w:lvlJc w:val="left"/>
      <w:pPr>
        <w:ind w:left="1097" w:hanging="360.0000000000001"/>
      </w:pPr>
      <w:rPr>
        <w:rFonts w:ascii="Courier New" w:cs="Courier New" w:eastAsia="Courier New" w:hAnsi="Courier New"/>
      </w:rPr>
    </w:lvl>
    <w:lvl w:ilvl="2">
      <w:start w:val="1"/>
      <w:numFmt w:val="bullet"/>
      <w:lvlText w:val="▪"/>
      <w:lvlJc w:val="left"/>
      <w:pPr>
        <w:ind w:left="1817" w:hanging="360"/>
      </w:pPr>
      <w:rPr>
        <w:rFonts w:ascii="Noto Sans Symbols" w:cs="Noto Sans Symbols" w:eastAsia="Noto Sans Symbols" w:hAnsi="Noto Sans Symbols"/>
      </w:rPr>
    </w:lvl>
    <w:lvl w:ilvl="3">
      <w:start w:val="1"/>
      <w:numFmt w:val="bullet"/>
      <w:lvlText w:val="●"/>
      <w:lvlJc w:val="left"/>
      <w:pPr>
        <w:ind w:left="2537" w:hanging="360"/>
      </w:pPr>
      <w:rPr>
        <w:rFonts w:ascii="Noto Sans Symbols" w:cs="Noto Sans Symbols" w:eastAsia="Noto Sans Symbols" w:hAnsi="Noto Sans Symbols"/>
      </w:rPr>
    </w:lvl>
    <w:lvl w:ilvl="4">
      <w:start w:val="1"/>
      <w:numFmt w:val="bullet"/>
      <w:lvlText w:val="o"/>
      <w:lvlJc w:val="left"/>
      <w:pPr>
        <w:ind w:left="3257" w:hanging="360"/>
      </w:pPr>
      <w:rPr>
        <w:rFonts w:ascii="Courier New" w:cs="Courier New" w:eastAsia="Courier New" w:hAnsi="Courier New"/>
      </w:rPr>
    </w:lvl>
    <w:lvl w:ilvl="5">
      <w:start w:val="1"/>
      <w:numFmt w:val="bullet"/>
      <w:lvlText w:val="▪"/>
      <w:lvlJc w:val="left"/>
      <w:pPr>
        <w:ind w:left="3977" w:hanging="360"/>
      </w:pPr>
      <w:rPr>
        <w:rFonts w:ascii="Noto Sans Symbols" w:cs="Noto Sans Symbols" w:eastAsia="Noto Sans Symbols" w:hAnsi="Noto Sans Symbols"/>
      </w:rPr>
    </w:lvl>
    <w:lvl w:ilvl="6">
      <w:start w:val="1"/>
      <w:numFmt w:val="bullet"/>
      <w:lvlText w:val="●"/>
      <w:lvlJc w:val="left"/>
      <w:pPr>
        <w:ind w:left="4697" w:hanging="360"/>
      </w:pPr>
      <w:rPr>
        <w:rFonts w:ascii="Noto Sans Symbols" w:cs="Noto Sans Symbols" w:eastAsia="Noto Sans Symbols" w:hAnsi="Noto Sans Symbols"/>
      </w:rPr>
    </w:lvl>
    <w:lvl w:ilvl="7">
      <w:start w:val="1"/>
      <w:numFmt w:val="bullet"/>
      <w:lvlText w:val="o"/>
      <w:lvlJc w:val="left"/>
      <w:pPr>
        <w:ind w:left="5417" w:hanging="360"/>
      </w:pPr>
      <w:rPr>
        <w:rFonts w:ascii="Courier New" w:cs="Courier New" w:eastAsia="Courier New" w:hAnsi="Courier New"/>
      </w:rPr>
    </w:lvl>
    <w:lvl w:ilvl="8">
      <w:start w:val="1"/>
      <w:numFmt w:val="bullet"/>
      <w:lvlText w:val="▪"/>
      <w:lvlJc w:val="left"/>
      <w:pPr>
        <w:ind w:left="6137"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77" w:hanging="360"/>
      </w:pPr>
      <w:rPr>
        <w:rFonts w:ascii="Noto Sans Symbols" w:cs="Noto Sans Symbols" w:eastAsia="Noto Sans Symbols" w:hAnsi="Noto Sans Symbols"/>
      </w:rPr>
    </w:lvl>
    <w:lvl w:ilvl="1">
      <w:start w:val="1"/>
      <w:numFmt w:val="bullet"/>
      <w:lvlText w:val="o"/>
      <w:lvlJc w:val="left"/>
      <w:pPr>
        <w:ind w:left="1097" w:hanging="360.0000000000001"/>
      </w:pPr>
      <w:rPr>
        <w:rFonts w:ascii="Courier New" w:cs="Courier New" w:eastAsia="Courier New" w:hAnsi="Courier New"/>
      </w:rPr>
    </w:lvl>
    <w:lvl w:ilvl="2">
      <w:start w:val="1"/>
      <w:numFmt w:val="bullet"/>
      <w:lvlText w:val="▪"/>
      <w:lvlJc w:val="left"/>
      <w:pPr>
        <w:ind w:left="1817" w:hanging="360"/>
      </w:pPr>
      <w:rPr>
        <w:rFonts w:ascii="Noto Sans Symbols" w:cs="Noto Sans Symbols" w:eastAsia="Noto Sans Symbols" w:hAnsi="Noto Sans Symbols"/>
      </w:rPr>
    </w:lvl>
    <w:lvl w:ilvl="3">
      <w:start w:val="1"/>
      <w:numFmt w:val="bullet"/>
      <w:lvlText w:val="●"/>
      <w:lvlJc w:val="left"/>
      <w:pPr>
        <w:ind w:left="2537" w:hanging="360"/>
      </w:pPr>
      <w:rPr>
        <w:rFonts w:ascii="Noto Sans Symbols" w:cs="Noto Sans Symbols" w:eastAsia="Noto Sans Symbols" w:hAnsi="Noto Sans Symbols"/>
      </w:rPr>
    </w:lvl>
    <w:lvl w:ilvl="4">
      <w:start w:val="1"/>
      <w:numFmt w:val="bullet"/>
      <w:lvlText w:val="o"/>
      <w:lvlJc w:val="left"/>
      <w:pPr>
        <w:ind w:left="3257" w:hanging="360"/>
      </w:pPr>
      <w:rPr>
        <w:rFonts w:ascii="Courier New" w:cs="Courier New" w:eastAsia="Courier New" w:hAnsi="Courier New"/>
      </w:rPr>
    </w:lvl>
    <w:lvl w:ilvl="5">
      <w:start w:val="1"/>
      <w:numFmt w:val="bullet"/>
      <w:lvlText w:val="▪"/>
      <w:lvlJc w:val="left"/>
      <w:pPr>
        <w:ind w:left="3977" w:hanging="360"/>
      </w:pPr>
      <w:rPr>
        <w:rFonts w:ascii="Noto Sans Symbols" w:cs="Noto Sans Symbols" w:eastAsia="Noto Sans Symbols" w:hAnsi="Noto Sans Symbols"/>
      </w:rPr>
    </w:lvl>
    <w:lvl w:ilvl="6">
      <w:start w:val="1"/>
      <w:numFmt w:val="bullet"/>
      <w:lvlText w:val="●"/>
      <w:lvlJc w:val="left"/>
      <w:pPr>
        <w:ind w:left="4697" w:hanging="360"/>
      </w:pPr>
      <w:rPr>
        <w:rFonts w:ascii="Noto Sans Symbols" w:cs="Noto Sans Symbols" w:eastAsia="Noto Sans Symbols" w:hAnsi="Noto Sans Symbols"/>
      </w:rPr>
    </w:lvl>
    <w:lvl w:ilvl="7">
      <w:start w:val="1"/>
      <w:numFmt w:val="bullet"/>
      <w:lvlText w:val="o"/>
      <w:lvlJc w:val="left"/>
      <w:pPr>
        <w:ind w:left="5417" w:hanging="360"/>
      </w:pPr>
      <w:rPr>
        <w:rFonts w:ascii="Courier New" w:cs="Courier New" w:eastAsia="Courier New" w:hAnsi="Courier New"/>
      </w:rPr>
    </w:lvl>
    <w:lvl w:ilvl="8">
      <w:start w:val="1"/>
      <w:numFmt w:val="bullet"/>
      <w:lvlText w:val="▪"/>
      <w:lvlJc w:val="left"/>
      <w:pPr>
        <w:ind w:left="6137"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13" w:line="288" w:lineRule="auto"/>
    </w:pPr>
    <w:rPr>
      <w:rFonts w:ascii="Arial" w:cs="Arial" w:eastAsia="Arial" w:hAnsi="Arial"/>
      <w:b w:val="1"/>
      <w:color w:val="ef4123"/>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qFormat w:val="1"/>
  </w:style>
  <w:style w:type="paragraph" w:styleId="Ttulo2">
    <w:name w:val="heading 2"/>
    <w:basedOn w:val="Normal"/>
    <w:next w:val="Normal"/>
    <w:link w:val="Ttulo2Car"/>
    <w:uiPriority w:val="9"/>
    <w:semiHidden w:val="1"/>
    <w:unhideWhenUsed w:val="1"/>
    <w:qFormat w:val="1"/>
    <w:rsid w:val="001B009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link w:val="Ttulo3Car"/>
    <w:uiPriority w:val="9"/>
    <w:qFormat w:val="1"/>
    <w:rsid w:val="0091467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CO"/>
    </w:rPr>
  </w:style>
  <w:style w:type="paragraph" w:styleId="Ttulo4">
    <w:name w:val="heading 4"/>
    <w:basedOn w:val="Normal"/>
    <w:link w:val="Ttulo4Car"/>
    <w:uiPriority w:val="9"/>
    <w:qFormat w:val="1"/>
    <w:rsid w:val="00914671"/>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84BD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4BD2"/>
  </w:style>
  <w:style w:type="paragraph" w:styleId="Piedepgina">
    <w:name w:val="footer"/>
    <w:basedOn w:val="Normal"/>
    <w:link w:val="PiedepginaCar"/>
    <w:uiPriority w:val="99"/>
    <w:unhideWhenUsed w:val="1"/>
    <w:rsid w:val="00D84BD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4BD2"/>
  </w:style>
  <w:style w:type="character" w:styleId="Ttulo3Car" w:customStyle="1">
    <w:name w:val="Título 3 Car"/>
    <w:basedOn w:val="Fuentedeprrafopredeter"/>
    <w:link w:val="Ttulo3"/>
    <w:uiPriority w:val="9"/>
    <w:rsid w:val="00914671"/>
    <w:rPr>
      <w:rFonts w:ascii="Times New Roman" w:cs="Times New Roman" w:eastAsia="Times New Roman" w:hAnsi="Times New Roman"/>
      <w:b w:val="1"/>
      <w:bCs w:val="1"/>
      <w:sz w:val="27"/>
      <w:szCs w:val="27"/>
      <w:lang w:eastAsia="es-CO"/>
    </w:rPr>
  </w:style>
  <w:style w:type="character" w:styleId="Ttulo4Car" w:customStyle="1">
    <w:name w:val="Título 4 Car"/>
    <w:basedOn w:val="Fuentedeprrafopredeter"/>
    <w:link w:val="Ttulo4"/>
    <w:uiPriority w:val="9"/>
    <w:rsid w:val="00914671"/>
    <w:rPr>
      <w:rFonts w:ascii="Times New Roman" w:cs="Times New Roman" w:eastAsia="Times New Roman" w:hAnsi="Times New Roman"/>
      <w:b w:val="1"/>
      <w:bCs w:val="1"/>
      <w:sz w:val="24"/>
      <w:szCs w:val="24"/>
      <w:lang w:eastAsia="es-CO"/>
    </w:rPr>
  </w:style>
  <w:style w:type="paragraph" w:styleId="NormalWeb">
    <w:name w:val="Normal (Web)"/>
    <w:basedOn w:val="Normal"/>
    <w:uiPriority w:val="99"/>
    <w:semiHidden w:val="1"/>
    <w:unhideWhenUsed w:val="1"/>
    <w:rsid w:val="00914671"/>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Textoindependiente">
    <w:name w:val="Body Text"/>
    <w:basedOn w:val="Normal"/>
    <w:link w:val="TextoindependienteCar"/>
    <w:uiPriority w:val="1"/>
    <w:qFormat w:val="1"/>
    <w:rsid w:val="00BD5B46"/>
    <w:pPr>
      <w:widowControl w:val="0"/>
      <w:autoSpaceDE w:val="0"/>
      <w:autoSpaceDN w:val="0"/>
      <w:spacing w:after="0" w:line="240" w:lineRule="auto"/>
    </w:pPr>
    <w:rPr>
      <w:rFonts w:ascii="Arial MT" w:cs="Arial MT" w:eastAsia="Arial MT" w:hAnsi="Arial MT"/>
      <w:sz w:val="15"/>
      <w:szCs w:val="15"/>
      <w:lang w:val="es-ES"/>
    </w:rPr>
  </w:style>
  <w:style w:type="character" w:styleId="TextoindependienteCar" w:customStyle="1">
    <w:name w:val="Texto independiente Car"/>
    <w:basedOn w:val="Fuentedeprrafopredeter"/>
    <w:link w:val="Textoindependiente"/>
    <w:uiPriority w:val="1"/>
    <w:rsid w:val="00BD5B46"/>
    <w:rPr>
      <w:rFonts w:ascii="Arial MT" w:cs="Arial MT" w:eastAsia="Arial MT" w:hAnsi="Arial MT"/>
      <w:sz w:val="15"/>
      <w:szCs w:val="15"/>
      <w:lang w:val="es-ES"/>
    </w:rPr>
  </w:style>
  <w:style w:type="paragraph" w:styleId="Prrafodelista">
    <w:name w:val="List Paragraph"/>
    <w:basedOn w:val="Normal"/>
    <w:uiPriority w:val="1"/>
    <w:qFormat w:val="1"/>
    <w:rsid w:val="00BD5B46"/>
    <w:pPr>
      <w:widowControl w:val="0"/>
      <w:autoSpaceDE w:val="0"/>
      <w:autoSpaceDN w:val="0"/>
      <w:spacing w:after="0" w:line="240" w:lineRule="auto"/>
    </w:pPr>
    <w:rPr>
      <w:rFonts w:ascii="Arial MT" w:cs="Arial MT" w:eastAsia="Arial MT" w:hAnsi="Arial MT"/>
      <w:lang w:val="es-ES"/>
    </w:rPr>
  </w:style>
  <w:style w:type="paragraph" w:styleId="BasicParagraph" w:customStyle="1">
    <w:name w:val="[Basic Paragraph]"/>
    <w:basedOn w:val="Normal"/>
    <w:uiPriority w:val="99"/>
    <w:rsid w:val="00BD5B46"/>
    <w:pPr>
      <w:autoSpaceDE w:val="0"/>
      <w:autoSpaceDN w:val="0"/>
      <w:adjustRightInd w:val="0"/>
      <w:spacing w:after="0" w:line="288" w:lineRule="auto"/>
      <w:textAlignment w:val="center"/>
    </w:pPr>
    <w:rPr>
      <w:rFonts w:ascii="Minion Pro" w:cs="Minion Pro" w:hAnsi="Minion Pro"/>
      <w:color w:val="000000"/>
      <w:sz w:val="24"/>
      <w:szCs w:val="24"/>
      <w:lang w:val="en-US"/>
    </w:rPr>
  </w:style>
  <w:style w:type="table" w:styleId="Tablaconcuadrcula">
    <w:name w:val="Table Grid"/>
    <w:basedOn w:val="Tablanormal"/>
    <w:uiPriority w:val="59"/>
    <w:rsid w:val="00BD5B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aliases w:val="Ref"/>
    <w:basedOn w:val="Normal"/>
    <w:next w:val="Normal"/>
    <w:link w:val="TtuloCar"/>
    <w:uiPriority w:val="10"/>
    <w:qFormat w:val="1"/>
    <w:rsid w:val="00BD5B46"/>
    <w:pPr>
      <w:suppressAutoHyphens w:val="1"/>
      <w:spacing w:after="120" w:line="240" w:lineRule="auto"/>
      <w:contextualSpacing w:val="1"/>
    </w:pPr>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Car" w:customStyle="1">
    <w:name w:val="Título Car"/>
    <w:aliases w:val="Ref Car"/>
    <w:basedOn w:val="Fuentedeprrafopredeter"/>
    <w:link w:val="Ttulo"/>
    <w:uiPriority w:val="10"/>
    <w:rsid w:val="00BD5B46"/>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2Car" w:customStyle="1">
    <w:name w:val="Título 2 Car"/>
    <w:basedOn w:val="Fuentedeprrafopredeter"/>
    <w:link w:val="Ttulo2"/>
    <w:uiPriority w:val="9"/>
    <w:semiHidden w:val="1"/>
    <w:rsid w:val="001B0099"/>
    <w:rPr>
      <w:rFonts w:asciiTheme="majorHAnsi" w:cstheme="majorBidi" w:eastAsiaTheme="majorEastAsia" w:hAnsiTheme="majorHAnsi"/>
      <w:color w:val="2f5496" w:themeColor="accent1" w:themeShade="0000BF"/>
      <w:sz w:val="26"/>
      <w:szCs w:val="26"/>
    </w:rPr>
  </w:style>
  <w:style w:type="character" w:styleId="Textoennegrita">
    <w:name w:val="Strong"/>
    <w:basedOn w:val="Fuentedeprrafopredeter"/>
    <w:uiPriority w:val="22"/>
    <w:qFormat w:val="1"/>
    <w:rsid w:val="00AE4FD9"/>
    <w:rPr>
      <w:b w:val="1"/>
      <w:bCs w:val="1"/>
    </w:rPr>
  </w:style>
  <w:style w:type="paragraph" w:styleId="body" w:customStyle="1">
    <w:name w:val="body"/>
    <w:basedOn w:val="Normal"/>
    <w:rsid w:val="00AE4FD9"/>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keys" w:customStyle="1">
    <w:name w:val="keys"/>
    <w:basedOn w:val="Fuentedeprrafopredeter"/>
    <w:rsid w:val="00AE4FD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rk179JJQgQcvjzMz9AQtIKvTOw==">CgMxLjAaHgoBMBIZChcICVITChF0YWJsZS45cGV5d2hzczdjaDIOaC4zMTM3N3J4YTl3d2syDmguemlqc2dtcTA2MmV3Mg5oLmQ1ZmF0YWs3dDFocjIOaC54djR5N3N0d284ejEyDmguYjhhYnZkOXBkMTczMg5oLmRiZHUyM3NldGhxaDIOaC50Y243N3F2c3dwMGY4AHIhMVBOS2ZJanEtQlhoeXFFYUt3STZMQUZKM0Vqa0lPMmxM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2024-04-04T13:42:00Z</dcterms:created>
  <dc:creator>Usuario</dc:creator>
</cp:coreProperties>
</file>