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03">
      <w:pPr>
        <w:spacing w:after="0"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DESCUBRE LA ANTIGUA GRECIA</w:t>
      </w:r>
    </w:p>
    <w:p w:rsidR="00000000" w:rsidDel="00000000" w:rsidP="00000000" w:rsidRDefault="00000000" w:rsidRPr="00000000" w14:paraId="00000004">
      <w:pPr>
        <w:spacing w:after="0" w:lineRule="auto"/>
        <w:jc w:val="center"/>
        <w:rPr>
          <w:rFonts w:ascii="Arial" w:cs="Arial" w:eastAsia="Arial" w:hAnsi="Arial"/>
          <w:b w:val="1"/>
          <w:sz w:val="60"/>
          <w:szCs w:val="60"/>
        </w:rPr>
      </w:pPr>
      <w:r w:rsidDel="00000000" w:rsidR="00000000" w:rsidRPr="00000000">
        <w:rPr>
          <w:rFonts w:ascii="Arial" w:cs="Arial" w:eastAsia="Arial" w:hAnsi="Arial"/>
          <w:b w:val="1"/>
          <w:sz w:val="42"/>
          <w:szCs w:val="42"/>
          <w:rtl w:val="0"/>
        </w:rPr>
        <w:t xml:space="preserve">(</w:t>
      </w:r>
      <w:r w:rsidDel="00000000" w:rsidR="00000000" w:rsidRPr="00000000">
        <w:rPr>
          <w:rFonts w:ascii="Arial" w:cs="Arial" w:eastAsia="Arial" w:hAnsi="Arial"/>
          <w:b w:val="1"/>
          <w:sz w:val="40"/>
          <w:szCs w:val="40"/>
          <w:rtl w:val="0"/>
        </w:rPr>
        <w:t xml:space="preserve">4 días / 5 noches</w:t>
      </w:r>
      <w:r w:rsidDel="00000000" w:rsidR="00000000" w:rsidRPr="00000000">
        <w:rPr>
          <w:rFonts w:ascii="Arial" w:cs="Arial" w:eastAsia="Arial" w:hAnsi="Arial"/>
          <w:b w:val="1"/>
          <w:sz w:val="42"/>
          <w:szCs w:val="42"/>
          <w:rtl w:val="0"/>
        </w:rPr>
        <w:t xml:space="preserve">)</w:t>
      </w: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52"/>
          <w:szCs w:val="52"/>
        </w:rPr>
      </w:pPr>
      <w:r w:rsidDel="00000000" w:rsidR="00000000" w:rsidRPr="00000000">
        <w:rPr>
          <w:rFonts w:ascii="Arial" w:cs="Arial" w:eastAsia="Arial" w:hAnsi="Arial"/>
          <w:b w:val="1"/>
          <w:sz w:val="52"/>
          <w:szCs w:val="52"/>
        </w:rPr>
        <w:drawing>
          <wp:inline distB="114300" distT="114300" distL="114300" distR="114300">
            <wp:extent cx="1544792" cy="2743200"/>
            <wp:effectExtent b="0" l="0" r="0" t="0"/>
            <wp:docPr id="196683788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44792" cy="2743200"/>
                    </a:xfrm>
                    <a:prstGeom prst="rect"/>
                    <a:ln/>
                  </pic:spPr>
                </pic:pic>
              </a:graphicData>
            </a:graphic>
          </wp:inline>
        </w:drawing>
      </w:r>
      <w:r w:rsidDel="00000000" w:rsidR="00000000" w:rsidRPr="00000000">
        <w:rPr>
          <w:rFonts w:ascii="Arial" w:cs="Arial" w:eastAsia="Arial" w:hAnsi="Arial"/>
          <w:b w:val="1"/>
          <w:sz w:val="52"/>
          <w:szCs w:val="52"/>
        </w:rPr>
        <w:drawing>
          <wp:inline distB="114300" distT="114300" distL="114300" distR="114300">
            <wp:extent cx="1657350" cy="2743200"/>
            <wp:effectExtent b="0" l="0" r="0" t="0"/>
            <wp:docPr id="1966837889" name="image4.png"/>
            <a:graphic>
              <a:graphicData uri="http://schemas.openxmlformats.org/drawingml/2006/picture">
                <pic:pic>
                  <pic:nvPicPr>
                    <pic:cNvPr id="0" name="image4.png"/>
                    <pic:cNvPicPr preferRelativeResize="0"/>
                  </pic:nvPicPr>
                  <pic:blipFill>
                    <a:blip r:embed="rId8"/>
                    <a:srcRect b="0" l="0" r="39583" t="0"/>
                    <a:stretch>
                      <a:fillRect/>
                    </a:stretch>
                  </pic:blipFill>
                  <pic:spPr>
                    <a:xfrm>
                      <a:off x="0" y="0"/>
                      <a:ext cx="1657350" cy="2743200"/>
                    </a:xfrm>
                    <a:prstGeom prst="rect"/>
                    <a:ln/>
                  </pic:spPr>
                </pic:pic>
              </a:graphicData>
            </a:graphic>
          </wp:inline>
        </w:drawing>
      </w:r>
      <w:r w:rsidDel="00000000" w:rsidR="00000000" w:rsidRPr="00000000">
        <w:rPr>
          <w:rFonts w:ascii="Arial" w:cs="Arial" w:eastAsia="Arial" w:hAnsi="Arial"/>
          <w:b w:val="1"/>
          <w:sz w:val="52"/>
          <w:szCs w:val="52"/>
        </w:rPr>
        <w:drawing>
          <wp:inline distB="114300" distT="114300" distL="114300" distR="114300">
            <wp:extent cx="1719072" cy="2743200"/>
            <wp:effectExtent b="0" l="0" r="0" t="0"/>
            <wp:docPr id="1966837888" name="image3.png"/>
            <a:graphic>
              <a:graphicData uri="http://schemas.openxmlformats.org/drawingml/2006/picture">
                <pic:pic>
                  <pic:nvPicPr>
                    <pic:cNvPr id="0" name="image3.png"/>
                    <pic:cNvPicPr preferRelativeResize="0"/>
                  </pic:nvPicPr>
                  <pic:blipFill>
                    <a:blip r:embed="rId9"/>
                    <a:srcRect b="0" l="18155" r="5669" t="0"/>
                    <a:stretch>
                      <a:fillRect/>
                    </a:stretch>
                  </pic:blipFill>
                  <pic:spPr>
                    <a:xfrm>
                      <a:off x="0" y="0"/>
                      <a:ext cx="1719072"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"Descubriendo la Antigua Grecia: Atenas, Delfos y Meteora" es un viaje fascinante que sumerge a los viajeros en la rica historia y la impresionante belleza natural de Grecia. Desde los imponentes monumentos de la Acrópolis en Atenas hasta los misteriosos oráculos de Delfos, cada día ofrece una nueva aventura. Los majestuosos monasterios de Meteora, erguidos sobre altas columnas de roca, inspiran asombro y admiración. Este programa combina la exploración de antiguos sitios arqueológicos con la contemplación de paisajes impresionantes, creando una experiencia inolvidable en el corazón de Grecia.</w:t>
      </w:r>
    </w:p>
    <w:p w:rsidR="00000000" w:rsidDel="00000000" w:rsidP="00000000" w:rsidRDefault="00000000" w:rsidRPr="00000000" w14:paraId="00000007">
      <w:pPr>
        <w:spacing w:after="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0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Grecia</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Atenas, Delfos y Meteora</w:t>
      </w:r>
    </w:p>
    <w:p w:rsidR="00000000" w:rsidDel="00000000" w:rsidP="00000000" w:rsidRDefault="00000000" w:rsidRPr="00000000" w14:paraId="0000000A">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 junio a octubre 2024</w:t>
      </w:r>
    </w:p>
    <w:p w:rsidR="00000000" w:rsidDel="00000000" w:rsidP="00000000" w:rsidRDefault="00000000" w:rsidRPr="00000000" w14:paraId="0000000B">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Sábados o miércoles</w:t>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3">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DIA 1: ATENAS</w:t>
      </w:r>
    </w:p>
    <w:p w:rsidR="00000000" w:rsidDel="00000000" w:rsidP="00000000" w:rsidRDefault="00000000" w:rsidRPr="00000000" w14:paraId="00000015">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Llegada al aeropuerto, asistencia y traslado al hotel. Alojamiento.</w:t>
      </w:r>
    </w:p>
    <w:p w:rsidR="00000000" w:rsidDel="00000000" w:rsidP="00000000" w:rsidRDefault="00000000" w:rsidRPr="00000000" w14:paraId="00000016">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7">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DIA 2: ATENAS</w:t>
      </w:r>
    </w:p>
    <w:p w:rsidR="00000000" w:rsidDel="00000000" w:rsidP="00000000" w:rsidRDefault="00000000" w:rsidRPr="00000000" w14:paraId="00000018">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Salida para realizar la visita de la ciudad de Atenas. Kalimarmaro, El Arco de Adriano, Parlamento-monumento del Soldado Desconocido y el  tradicional Cambio de Guardia, en la Plaza de la Constitución-Plaza Syntagma. Plaza de la Concordia-Plaza Omonia. Acrópolis; Los Propileos, el templo Jónico De Atenea Nike, el Erection, Partenón &amp; Museo Nuevo. Tarde libre y alojamiento.</w:t>
      </w:r>
    </w:p>
    <w:p w:rsidR="00000000" w:rsidDel="00000000" w:rsidP="00000000" w:rsidRDefault="00000000" w:rsidRPr="00000000" w14:paraId="00000019">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A">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DIA 3: DELFOS - METEORA</w:t>
      </w:r>
    </w:p>
    <w:p w:rsidR="00000000" w:rsidDel="00000000" w:rsidP="00000000" w:rsidRDefault="00000000" w:rsidRPr="00000000" w14:paraId="0000001B">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Desayuno y salida para comenzar la excursión hacia Delfos donde se visitará el Museo Arqueológico de Delfos y el recinto Arqueológico. Salida hacia Kalambaka, llegada al hotel, cena y alojamiento.</w:t>
      </w:r>
    </w:p>
    <w:p w:rsidR="00000000" w:rsidDel="00000000" w:rsidP="00000000" w:rsidRDefault="00000000" w:rsidRPr="00000000" w14:paraId="0000001C">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1D">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DIA 4: METEORA - ATENAS</w:t>
      </w:r>
    </w:p>
    <w:p w:rsidR="00000000" w:rsidDel="00000000" w:rsidP="00000000" w:rsidRDefault="00000000" w:rsidRPr="00000000" w14:paraId="0000001E">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Salida hacia Meteora con los monasterios emplazados sobre las rocas, algo que se les quedará en su recuerdo. Continuaremos hacia Termópilas y llegada a Atenas sobre las 18:00. Alojamiento.</w:t>
      </w:r>
    </w:p>
    <w:p w:rsidR="00000000" w:rsidDel="00000000" w:rsidP="00000000" w:rsidRDefault="00000000" w:rsidRPr="00000000" w14:paraId="0000001F">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DÍA 5: ATENAS</w:t>
      </w:r>
    </w:p>
    <w:p w:rsidR="00000000" w:rsidDel="00000000" w:rsidP="00000000" w:rsidRDefault="00000000" w:rsidRPr="00000000" w14:paraId="00000021">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Traslado al aeropuerto a la hora indicada.</w:t>
      </w:r>
    </w:p>
    <w:p w:rsidR="00000000" w:rsidDel="00000000" w:rsidP="00000000" w:rsidRDefault="00000000" w:rsidRPr="00000000" w14:paraId="00000022">
      <w:pPr>
        <w:spacing w:after="0" w:lineRule="auto"/>
        <w:ind w:right="-510"/>
        <w:jc w:val="both"/>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24">
      <w:pPr>
        <w:rPr>
          <w:rFonts w:ascii="Arial" w:cs="Arial" w:eastAsia="Arial" w:hAnsi="Arial"/>
          <w:b w:val="1"/>
          <w:color w:val="ef4123"/>
        </w:rPr>
      </w:pPr>
      <w:r w:rsidDel="00000000" w:rsidR="00000000" w:rsidRPr="00000000">
        <w:rPr>
          <w:rFonts w:ascii="Arial" w:cs="Arial" w:eastAsia="Arial" w:hAnsi="Arial"/>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27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2130"/>
            <w:gridCol w:w="1560"/>
            <w:gridCol w:w="1305"/>
            <w:gridCol w:w="1440"/>
            <w:tblGridChange w:id="0">
              <w:tblGrid>
                <w:gridCol w:w="2835"/>
                <w:gridCol w:w="2130"/>
                <w:gridCol w:w="1560"/>
                <w:gridCol w:w="1305"/>
                <w:gridCol w:w="1440"/>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VIGENCIA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DOBLE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TRIPLE</w:t>
                </w:r>
              </w:p>
            </w:tc>
          </w:tr>
          <w:tr>
            <w:trPr>
              <w:cantSplit w:val="0"/>
              <w:trHeight w:val="75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Junio:</w:t>
                </w:r>
                <w:r w:rsidDel="00000000" w:rsidR="00000000" w:rsidRPr="00000000">
                  <w:rPr>
                    <w:rFonts w:ascii="Arial" w:cs="Arial" w:eastAsia="Arial" w:hAnsi="Arial"/>
                    <w:rtl w:val="0"/>
                  </w:rPr>
                  <w:t xml:space="preserve">1, 5, 8, 12, 15, 19, 22, 26, 29</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Julio</w:t>
                </w:r>
                <w:r w:rsidDel="00000000" w:rsidR="00000000" w:rsidRPr="00000000">
                  <w:rPr>
                    <w:rFonts w:ascii="Arial" w:cs="Arial" w:eastAsia="Arial" w:hAnsi="Arial"/>
                    <w:rtl w:val="0"/>
                  </w:rPr>
                  <w:t xml:space="preserve">: 3, 6, 10, 13, 17, 20, 24, 27, 31</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Septiembre:</w:t>
                </w:r>
                <w:r w:rsidDel="00000000" w:rsidR="00000000" w:rsidRPr="00000000">
                  <w:rPr>
                    <w:rFonts w:ascii="Arial" w:cs="Arial" w:eastAsia="Arial" w:hAnsi="Arial"/>
                    <w:rtl w:val="0"/>
                  </w:rPr>
                  <w:t xml:space="preserve"> 4, 7, 11, 14, 18, 21, 25, 28</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b w:val="1"/>
                    <w:rtl w:val="0"/>
                  </w:rPr>
                  <w:t xml:space="preserve">Octubre</w:t>
                </w:r>
                <w:r w:rsidDel="00000000" w:rsidR="00000000" w:rsidRPr="00000000">
                  <w:rPr>
                    <w:rFonts w:ascii="Arial" w:cs="Arial" w:eastAsia="Arial" w:hAnsi="Arial"/>
                    <w:rtl w:val="0"/>
                  </w:rPr>
                  <w:t xml:space="preserve">: 2, 5, 9, 12, 16, 19, 23, 26, 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2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750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r>
          <w:tr>
            <w:trPr>
              <w:cantSplit w:val="0"/>
              <w:trHeight w:val="82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 Superior</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1,410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810</w:t>
                </w:r>
              </w:p>
            </w:tc>
          </w:tr>
          <w:tr>
            <w:trPr>
              <w:cantSplit w:val="0"/>
              <w:trHeight w:val="48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Primera</w:t>
                </w:r>
              </w:p>
            </w:tc>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1,960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1,140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950</w:t>
                </w:r>
              </w:p>
            </w:tc>
          </w:tr>
          <w:tr>
            <w:trPr>
              <w:cantSplit w:val="0"/>
              <w:trHeight w:val="480" w:hRule="atLeast"/>
              <w:tblHeader w:val="0"/>
            </w:trPr>
            <w:tc>
              <w:tcPr>
                <w:vMerge w:val="restart"/>
                <w:shd w:fill="efefef"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Agosto: </w:t>
                </w:r>
                <w:r w:rsidDel="00000000" w:rsidR="00000000" w:rsidRPr="00000000">
                  <w:rPr>
                    <w:rFonts w:ascii="Arial" w:cs="Arial" w:eastAsia="Arial" w:hAnsi="Arial"/>
                    <w:rtl w:val="0"/>
                  </w:rPr>
                  <w:t xml:space="preserve">3, 7, 10, 14, 17, 21, 24, 28, 31</w:t>
                </w:r>
                <w:r w:rsidDel="00000000" w:rsidR="00000000" w:rsidRPr="00000000">
                  <w:rPr>
                    <w:rFonts w:ascii="Arial" w:cs="Arial" w:eastAsia="Arial" w:hAnsi="Arial"/>
                    <w:b w:val="1"/>
                    <w:rtl w:val="0"/>
                  </w:rPr>
                  <w:t xml:space="preserve"> </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750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690</w:t>
                </w:r>
              </w:p>
            </w:tc>
          </w:tr>
          <w:tr>
            <w:trPr>
              <w:cantSplit w:val="0"/>
              <w:trHeight w:val="48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 Superior</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1,510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910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850</w:t>
                </w:r>
              </w:p>
            </w:tc>
          </w:tr>
          <w:tr>
            <w:trPr>
              <w:cantSplit w:val="0"/>
              <w:trHeight w:val="480" w:hRule="atLeast"/>
              <w:tblHeader w:val="0"/>
            </w:trPr>
            <w:tc>
              <w:tcPr>
                <w:vMerge w:val="continue"/>
                <w:shd w:fill="efefef"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Primera</w:t>
                </w:r>
              </w:p>
            </w:tc>
            <w:tc>
              <w:tcPr>
                <w:tcBorders>
                  <w:top w:color="cccccc" w:space="0" w:sz="5" w:val="single"/>
                  <w:left w:color="000000"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2,060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1,190</w:t>
                </w:r>
              </w:p>
            </w:tc>
            <w:tc>
              <w:tcPr>
                <w:tcBorders>
                  <w:top w:color="cccccc" w:space="0" w:sz="5" w:val="single"/>
                  <w:left w:color="cccccc" w:space="0" w:sz="5" w:val="single"/>
                  <w:bottom w:color="000000" w:space="0" w:sz="5" w:val="single"/>
                  <w:right w:color="000000" w:space="0" w:sz="5"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980</w:t>
                </w:r>
              </w:p>
            </w:tc>
          </w:tr>
        </w:tbl>
      </w:sdtContent>
    </w:sdt>
    <w:p w:rsidR="00000000" w:rsidDel="00000000" w:rsidP="00000000" w:rsidRDefault="00000000" w:rsidRPr="00000000" w14:paraId="0000004B">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4C">
      <w:pPr>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4D">
      <w:pPr>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INCLUYE:</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i w:val="0"/>
          <w:smallCaps w:val="0"/>
          <w:strike w:val="0"/>
          <w:color w:val="000000"/>
          <w:shd w:fill="auto" w:val="clear"/>
          <w:vertAlign w:val="baseline"/>
        </w:rPr>
      </w:pPr>
      <w:r w:rsidDel="00000000" w:rsidR="00000000" w:rsidRPr="00000000">
        <w:rPr>
          <w:rFonts w:ascii="Arial" w:cs="Arial" w:eastAsia="Arial" w:hAnsi="Arial"/>
          <w:rtl w:val="0"/>
        </w:rPr>
        <w:t xml:space="preserve">Traslados de llegada con asistencia, traslados de salida sin asistencia, para todas las categorías</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3  noches de alojamiento en Atenas </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Desayuno diario </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Visita de la ciudad de Atenas &amp; Museo Nuevo, en tour regular, con guía hispana y entradas incluidas</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Circuito de 2 días/1 noche Delfos y Meteora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Desayuno y cena </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Asistencia médica (Suplemento para mayores de 70 años)</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ind w:left="540" w:hanging="360"/>
        <w:rPr>
          <w:rFonts w:ascii="Arial" w:cs="Arial" w:eastAsia="Arial" w:hAnsi="Arial"/>
          <w:b w:val="1"/>
          <w:color w:val="ef4123"/>
        </w:rPr>
      </w:pPr>
      <w:r w:rsidDel="00000000" w:rsidR="00000000" w:rsidRPr="00000000">
        <w:rPr>
          <w:rFonts w:ascii="Arial" w:cs="Arial" w:eastAsia="Arial" w:hAnsi="Arial"/>
          <w:b w:val="1"/>
          <w:color w:val="ef4123"/>
          <w:rtl w:val="0"/>
        </w:rPr>
        <w:t xml:space="preserve">EL VIAJE NO INCLUYE:</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Boletos de avión </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Impuestos de aeropuerto</w:t>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Alimentación no descrita en el programa </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Bebidas</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Excursiones opcionales </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Gastos de índole personal </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Propinas para guía y conductor (Sugerido USD 35 por pasajero)</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Asistencia médica </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Fee bancario</w:t>
      </w:r>
    </w:p>
    <w:p w:rsidR="00000000" w:rsidDel="00000000" w:rsidP="00000000" w:rsidRDefault="00000000" w:rsidRPr="00000000" w14:paraId="00000060">
      <w:pPr>
        <w:rPr>
          <w:rFonts w:ascii="Arial" w:cs="Arial" w:eastAsia="Arial" w:hAnsi="Arial"/>
          <w:b w:val="1"/>
          <w:color w:val="ef4123"/>
        </w:rPr>
      </w:pPr>
      <w:r w:rsidDel="00000000" w:rsidR="00000000" w:rsidRPr="00000000">
        <w:rPr>
          <w:rtl w:val="0"/>
        </w:rPr>
      </w:r>
    </w:p>
    <w:sdt>
      <w:sdtPr>
        <w:lock w:val="contentLocked"/>
        <w:tag w:val="goog_rdk_1"/>
      </w:sdtPr>
      <w:sdtContent>
        <w:tbl>
          <w:tblPr>
            <w:tblStyle w:val="Table2"/>
            <w:tblW w:w="9123.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643705463183"/>
            <w:gridCol w:w="3499.678147268409"/>
            <w:gridCol w:w="3499.678147268409"/>
            <w:tblGridChange w:id="0">
              <w:tblGrid>
                <w:gridCol w:w="2123.643705463183"/>
                <w:gridCol w:w="3499.678147268409"/>
                <w:gridCol w:w="3499.678147268409"/>
              </w:tblGrid>
            </w:tblGridChange>
          </w:tblGrid>
          <w:tr>
            <w:trPr>
              <w:cantSplit w:val="0"/>
              <w:trHeight w:val="735" w:hRule="atLeast"/>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jc w:val="center"/>
                  <w:rPr>
                    <w:rFonts w:ascii="Arial" w:cs="Arial" w:eastAsia="Arial" w:hAnsi="Arial"/>
                    <w:b w:val="1"/>
                    <w:color w:val="ef4123"/>
                    <w:sz w:val="24"/>
                    <w:szCs w:val="24"/>
                  </w:rPr>
                </w:pPr>
                <w:r w:rsidDel="00000000" w:rsidR="00000000" w:rsidRPr="00000000">
                  <w:rPr>
                    <w:rFonts w:ascii="Arial" w:cs="Arial" w:eastAsia="Arial" w:hAnsi="Arial"/>
                    <w:b w:val="1"/>
                    <w:color w:val="ef4123"/>
                    <w:rtl w:val="0"/>
                  </w:rPr>
                  <w:t xml:space="preserve">HOTELES PREVISTOS O SIMILARES</w:t>
                </w:r>
                <w:r w:rsidDel="00000000" w:rsidR="00000000" w:rsidRPr="00000000">
                  <w:rPr>
                    <w:rtl w:val="0"/>
                  </w:rPr>
                </w:r>
              </w:p>
            </w:tc>
          </w:tr>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CATEGORÍA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ATENAS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DELFOS / METEORA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Jason Inn o similar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Orfeas o similar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Turista Superior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Titania o similar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Amalia o similar</w:t>
                </w:r>
              </w:p>
            </w:tc>
          </w:tr>
          <w:tr>
            <w:trPr>
              <w:cantSplit w:val="0"/>
              <w:trHeight w:val="4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D">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Primera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Grand Hyatt o similar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center"/>
                  <w:rPr>
                    <w:rFonts w:ascii="Arial" w:cs="Arial" w:eastAsia="Arial" w:hAnsi="Arial"/>
                  </w:rPr>
                </w:pPr>
                <w:r w:rsidDel="00000000" w:rsidR="00000000" w:rsidRPr="00000000">
                  <w:rPr>
                    <w:rFonts w:ascii="Arial" w:cs="Arial" w:eastAsia="Arial" w:hAnsi="Arial"/>
                    <w:rtl w:val="0"/>
                  </w:rPr>
                  <w:t xml:space="preserve">Hotel Amalia o similar</w:t>
                </w:r>
              </w:p>
            </w:tc>
          </w:tr>
        </w:tbl>
      </w:sdtContent>
    </w:sdt>
    <w:p w:rsidR="00000000" w:rsidDel="00000000" w:rsidP="00000000" w:rsidRDefault="00000000" w:rsidRPr="00000000" w14:paraId="00000070">
      <w:pPr>
        <w:rPr>
          <w:rFonts w:ascii="Arial" w:cs="Arial" w:eastAsia="Arial" w:hAnsi="Arial"/>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2">
      <w:pPr>
        <w:pStyle w:val="Title"/>
        <w:spacing w:after="0" w:before="113" w:line="288" w:lineRule="auto"/>
        <w:ind w:left="-450" w:firstLine="0"/>
        <w:rPr>
          <w:rFonts w:ascii="Arial" w:cs="Arial" w:eastAsia="Arial" w:hAnsi="Arial"/>
          <w:color w:val="ef4123"/>
          <w:sz w:val="22"/>
          <w:szCs w:val="22"/>
        </w:rPr>
      </w:pPr>
      <w:bookmarkStart w:colFirst="0" w:colLast="0" w:name="_heading=h.tcn77qvswp0f" w:id="0"/>
      <w:bookmarkEnd w:id="0"/>
      <w:r w:rsidDel="00000000" w:rsidR="00000000" w:rsidRPr="00000000">
        <w:rPr>
          <w:rFonts w:ascii="Arial" w:cs="Arial" w:eastAsia="Arial" w:hAnsi="Arial"/>
          <w:color w:val="ef4123"/>
          <w:sz w:val="22"/>
          <w:szCs w:val="22"/>
          <w:rtl w:val="0"/>
        </w:rPr>
        <w:t xml:space="preserve">CONDICIONES GENERALES</w:t>
      </w:r>
    </w:p>
    <w:p w:rsidR="00000000" w:rsidDel="00000000" w:rsidP="00000000" w:rsidRDefault="00000000" w:rsidRPr="00000000" w14:paraId="00000073">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74">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75">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están incluidos los boletos de avión</w:t>
      </w:r>
    </w:p>
    <w:p w:rsidR="00000000" w:rsidDel="00000000" w:rsidP="00000000" w:rsidRDefault="00000000" w:rsidRPr="00000000" w14:paraId="00000076">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check-in en la aerolínea es responsabilidad del cliente y la agencia de viajes correspondiente, Gente Mayorista México no se responsabiliza de este trámite.</w:t>
      </w:r>
    </w:p>
    <w:p w:rsidR="00000000" w:rsidDel="00000000" w:rsidP="00000000" w:rsidRDefault="00000000" w:rsidRPr="00000000" w14:paraId="00000077">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traslados de entrada y salida aeropuerto-hotel-aeropuerto se realizarán de acuerdo al itinerario enviado.</w:t>
      </w:r>
    </w:p>
    <w:p w:rsidR="00000000" w:rsidDel="00000000" w:rsidP="00000000" w:rsidRDefault="00000000" w:rsidRPr="00000000" w14:paraId="00000078">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plan es no reembolsable, no endosable y no revisable.</w:t>
      </w:r>
    </w:p>
    <w:p w:rsidR="00000000" w:rsidDel="00000000" w:rsidP="00000000" w:rsidRDefault="00000000" w:rsidRPr="00000000" w14:paraId="00000079">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y los hoteles pueden variar por situaciones ajenas a nuestra voluntad, tales como ferias, fiestas nacionales, eventos especiales, huelgas o algún factor natural.</w:t>
      </w:r>
    </w:p>
    <w:p w:rsidR="00000000" w:rsidDel="00000000" w:rsidP="00000000" w:rsidRDefault="00000000" w:rsidRPr="00000000" w14:paraId="0000007A">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hoteles pueden cambiar de acuerdo a disponibilidad, por similares y de la misma categoría.</w:t>
      </w:r>
    </w:p>
    <w:p w:rsidR="00000000" w:rsidDel="00000000" w:rsidP="00000000" w:rsidRDefault="00000000" w:rsidRPr="00000000" w14:paraId="0000007B">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visitas opcionales ofrecidas están sujetas a operación y/o cambios por eventualidades climáticas, situaciones ajenas a nuestra voluntad y/o número mínimo de pasajeros para operar.</w:t>
      </w:r>
    </w:p>
    <w:p w:rsidR="00000000" w:rsidDel="00000000" w:rsidP="00000000" w:rsidRDefault="00000000" w:rsidRPr="00000000" w14:paraId="0000007C">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triples se confirman bajo solicitud previa (sujetas a confirmación).</w:t>
      </w:r>
    </w:p>
    <w:p w:rsidR="00000000" w:rsidDel="00000000" w:rsidP="00000000" w:rsidRDefault="00000000" w:rsidRPr="00000000" w14:paraId="0000007D">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7E">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7F">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80">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Cualquier visita y/o servicio dejado de tomar (por itinerarios de vuelos o decisión propia del pasajero), no será reembolsado.</w:t>
      </w:r>
    </w:p>
    <w:p w:rsidR="00000000" w:rsidDel="00000000" w:rsidP="00000000" w:rsidRDefault="00000000" w:rsidRPr="00000000" w14:paraId="00000081">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82">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83">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pasajeros aceptan las condiciones aquí estipuladas desde el momento de hacer su reserva y son conscientes del pago obligatorio de propinas por concepto de los servicios prestados en cada destino antes de finalizar el viaje.</w:t>
      </w:r>
    </w:p>
    <w:p w:rsidR="00000000" w:rsidDel="00000000" w:rsidP="00000000" w:rsidRDefault="00000000" w:rsidRPr="00000000" w14:paraId="00000084">
      <w:pPr>
        <w:numPr>
          <w:ilvl w:val="0"/>
          <w:numId w:val="1"/>
        </w:numPr>
        <w:spacing w:after="0" w:line="288" w:lineRule="auto"/>
        <w:ind w:left="-45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Nuestros programas publicados en dólares o en monedas extranjeras se deberán pagar en pesos Mexicanos a la tasa del mercado; vigente en cuando se trate de excursiones, servicios o paquetes de viaje que tengan destino en el extranjero, dada su naturaleza por ser servicios que se harán uso, goce o disfrute de ellos fuera de México, las publicaciones, los precios de las cotizaciones, confirmaciones, precios totales se presentarán en moneda extranjera, haciendo mención de que el precio de venta será el resultado de la conversión de la moneda extranjera a moneda nacional y podrán ser pagados en Pesos MXN (Moneda Nacional) al tipo de cambio que rija en el lugar y fecha en que se haga el pago único. Este tipo de cambio se determinará conforme a las disposiciones que para esos efectos expida el Banco de México en los términos de su Ley Orgánica y conforme a lo dispuesto en el Artículo 8º de la Ley monetaria de los Estados Unidos Mexicanos, sirviendo para todos los efectos consiguientes de anticipos, liquidación incluso reembolsos, bonificaciones, compensaciones, penalizaciones o cancelaciones. Del mismo modo, las obligaciones de pago en moneda extranjera contraídas dentro de la República Mexicana para ser cumplidas en ésta, se deben solventar en Moneda Nacional al tipo de cambio que rija al momento de efectuarse el pago, o en la moneda extranjera a elección de ambas partes, lo anterior con fundamento en los apartados 5.1.3 y 6.2.4 de la Norma Oficial Mexicana NOM010-TUR-2001.</w:t>
      </w:r>
    </w:p>
    <w:p w:rsidR="00000000" w:rsidDel="00000000" w:rsidP="00000000" w:rsidRDefault="00000000" w:rsidRPr="00000000" w14:paraId="00000085">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6">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087">
      <w:pPr>
        <w:widowControl w:val="0"/>
        <w:numPr>
          <w:ilvl w:val="0"/>
          <w:numId w:val="5"/>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Depósito</w:t>
      </w:r>
      <w:r w:rsidDel="00000000" w:rsidR="00000000" w:rsidRPr="00000000">
        <w:rPr>
          <w:rFonts w:ascii="Arial" w:cs="Arial" w:eastAsia="Arial" w:hAnsi="Arial"/>
          <w:sz w:val="20"/>
          <w:szCs w:val="20"/>
          <w:rtl w:val="0"/>
        </w:rPr>
        <w:t xml:space="preserve">: una vez recibido el depósito por persona (pagaderos en pesos mexicanos), el mismo no será reembolsable. 60 días antes de la fecha de viaje Gente Mayorista México deberá recibir un pago que cubra mínimo el 80% del valor total del viaje.</w:t>
      </w:r>
    </w:p>
    <w:p w:rsidR="00000000" w:rsidDel="00000000" w:rsidP="00000000" w:rsidRDefault="00000000" w:rsidRPr="00000000" w14:paraId="00000088">
      <w:pPr>
        <w:widowControl w:val="0"/>
        <w:numPr>
          <w:ilvl w:val="0"/>
          <w:numId w:val="5"/>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Pago total</w:t>
      </w:r>
      <w:r w:rsidDel="00000000" w:rsidR="00000000" w:rsidRPr="00000000">
        <w:rPr>
          <w:rFonts w:ascii="Arial" w:cs="Arial" w:eastAsia="Arial" w:hAnsi="Arial"/>
          <w:sz w:val="20"/>
          <w:szCs w:val="20"/>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89">
      <w:pPr>
        <w:widowControl w:val="0"/>
        <w:numPr>
          <w:ilvl w:val="0"/>
          <w:numId w:val="5"/>
        </w:numPr>
        <w:shd w:fill="ffffff" w:val="clear"/>
        <w:spacing w:after="0" w:line="240" w:lineRule="auto"/>
        <w:ind w:left="-45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Tarifa:</w:t>
      </w:r>
      <w:r w:rsidDel="00000000" w:rsidR="00000000" w:rsidRPr="00000000">
        <w:rPr>
          <w:rFonts w:ascii="Arial" w:cs="Arial" w:eastAsia="Arial" w:hAnsi="Arial"/>
          <w:sz w:val="20"/>
          <w:szCs w:val="20"/>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w:t>
      </w:r>
      <w:r w:rsidDel="00000000" w:rsidR="00000000" w:rsidRPr="00000000">
        <w:rPr>
          <w:rFonts w:ascii="Arial" w:cs="Arial" w:eastAsia="Arial" w:hAnsi="Arial"/>
          <w:sz w:val="23"/>
          <w:szCs w:val="23"/>
          <w:rtl w:val="0"/>
        </w:rPr>
        <w:t xml:space="preserve">os.</w:t>
      </w:r>
    </w:p>
    <w:p w:rsidR="00000000" w:rsidDel="00000000" w:rsidP="00000000" w:rsidRDefault="00000000" w:rsidRPr="00000000" w14:paraId="0000008A">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B">
      <w:pPr>
        <w:widowControl w:val="0"/>
        <w:shd w:fill="ffffff" w:val="clear"/>
        <w:spacing w:after="220" w:line="240" w:lineRule="auto"/>
        <w:ind w:left="-450" w:firstLine="0"/>
        <w:jc w:val="both"/>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08C">
      <w:pPr>
        <w:widowControl w:val="0"/>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8D">
      <w:pPr>
        <w:widowControl w:val="0"/>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8E">
      <w:pPr>
        <w:widowControl w:val="0"/>
        <w:shd w:fill="ffffff" w:val="clear"/>
        <w:spacing w:after="220" w:line="240" w:lineRule="auto"/>
        <w:ind w:left="-450" w:firstLine="0"/>
        <w:jc w:val="both"/>
        <w:rPr>
          <w:rFonts w:ascii="Arial" w:cs="Arial" w:eastAsia="Arial" w:hAnsi="Arial"/>
          <w:b w:val="1"/>
        </w:rPr>
      </w:pPr>
      <w:r w:rsidDel="00000000" w:rsidR="00000000" w:rsidRPr="00000000">
        <w:rPr>
          <w:rFonts w:ascii="Arial" w:cs="Arial" w:eastAsia="Arial" w:hAnsi="Arial"/>
          <w:b w:val="1"/>
          <w:rtl w:val="0"/>
        </w:rPr>
        <w:t xml:space="preserve">DE DEVOLUCIONES Y OTROS</w:t>
      </w:r>
    </w:p>
    <w:p w:rsidR="00000000" w:rsidDel="00000000" w:rsidP="00000000" w:rsidRDefault="00000000" w:rsidRPr="00000000" w14:paraId="0000008F">
      <w:pPr>
        <w:widowControl w:val="0"/>
        <w:numPr>
          <w:ilvl w:val="0"/>
          <w:numId w:val="2"/>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90">
      <w:pPr>
        <w:widowControl w:val="0"/>
        <w:numPr>
          <w:ilvl w:val="0"/>
          <w:numId w:val="2"/>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91">
      <w:pPr>
        <w:widowControl w:val="0"/>
        <w:numPr>
          <w:ilvl w:val="0"/>
          <w:numId w:val="2"/>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92">
      <w:pPr>
        <w:widowControl w:val="0"/>
        <w:numPr>
          <w:ilvl w:val="0"/>
          <w:numId w:val="2"/>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93">
      <w:pPr>
        <w:widowControl w:val="0"/>
        <w:numPr>
          <w:ilvl w:val="0"/>
          <w:numId w:val="2"/>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94">
      <w:pPr>
        <w:widowControl w:val="0"/>
        <w:numPr>
          <w:ilvl w:val="0"/>
          <w:numId w:val="2"/>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95">
      <w:pPr>
        <w:widowControl w:val="0"/>
        <w:numPr>
          <w:ilvl w:val="0"/>
          <w:numId w:val="2"/>
        </w:numPr>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96">
      <w:pPr>
        <w:widowControl w:val="0"/>
        <w:shd w:fill="ffffff" w:val="clear"/>
        <w:spacing w:after="220" w:line="240" w:lineRule="auto"/>
        <w:ind w:left="-450" w:firstLine="0"/>
        <w:jc w:val="both"/>
        <w:rPr>
          <w:rFonts w:ascii="Arial" w:cs="Arial" w:eastAsia="Arial" w:hAnsi="Arial"/>
          <w:b w:val="1"/>
        </w:rPr>
      </w:pPr>
      <w:r w:rsidDel="00000000" w:rsidR="00000000" w:rsidRPr="00000000">
        <w:rPr>
          <w:rFonts w:ascii="Arial" w:cs="Arial" w:eastAsia="Arial" w:hAnsi="Arial"/>
          <w:b w:val="1"/>
          <w:rtl w:val="0"/>
        </w:rPr>
        <w:t xml:space="preserve">TURISMO RESPONSABLE</w:t>
      </w:r>
    </w:p>
    <w:p w:rsidR="00000000" w:rsidDel="00000000" w:rsidP="00000000" w:rsidRDefault="00000000" w:rsidRPr="00000000" w14:paraId="00000097">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98">
      <w:pPr>
        <w:widowControl w:val="0"/>
        <w:numPr>
          <w:ilvl w:val="0"/>
          <w:numId w:val="3"/>
        </w:numPr>
        <w:shd w:fill="ffffff" w:val="clear"/>
        <w:spacing w:after="0" w:afterAutospacing="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99">
      <w:pPr>
        <w:widowControl w:val="0"/>
        <w:numPr>
          <w:ilvl w:val="0"/>
          <w:numId w:val="3"/>
        </w:numPr>
        <w:shd w:fill="ffffff" w:val="clear"/>
        <w:spacing w:after="220" w:line="240" w:lineRule="auto"/>
        <w:ind w:left="-450" w:firstLine="0"/>
        <w:jc w:val="both"/>
        <w:rPr>
          <w:rFonts w:ascii="Arial" w:cs="Arial" w:eastAsia="Arial" w:hAnsi="Arial"/>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09A">
      <w:pPr>
        <w:spacing w:after="0" w:line="240" w:lineRule="auto"/>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9B">
      <w:pPr>
        <w:widowControl w:val="0"/>
        <w:spacing w:after="0" w:line="240" w:lineRule="auto"/>
        <w:ind w:left="720" w:firstLine="0"/>
        <w:jc w:val="both"/>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1"/>
          <w:color w:val="ef4123"/>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-695320</wp:posOffset>
          </wp:positionH>
          <wp:positionV relativeFrom="paragraph">
            <wp:posOffset>38101</wp:posOffset>
          </wp:positionV>
          <wp:extent cx="1235802" cy="789540"/>
          <wp:effectExtent b="0" l="0" r="0" t="0"/>
          <wp:wrapNone/>
          <wp:docPr id="196683788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9E">
    <w:pPr>
      <w:widowControl w:val="0"/>
      <w:spacing w:after="0" w:line="240" w:lineRule="auto"/>
      <w:ind w:right="-1050"/>
      <w:jc w:val="right"/>
      <w:rP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spacing w:after="0" w:line="288"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tabs>
        <w:tab w:val="center" w:leader="none" w:pos="4419"/>
        <w:tab w:val="right" w:leader="none" w:pos="8838"/>
      </w:tabs>
      <w:spacing w:after="0" w:line="288" w:lineRule="auto"/>
      <w:rPr>
        <w:rFonts w:ascii="Arial" w:cs="Arial" w:eastAsia="Arial" w:hAnsi="Arial"/>
        <w:b w:val="1"/>
        <w:color w:val="ef4123"/>
        <w:sz w:val="20"/>
        <w:szCs w:val="20"/>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77" w:hanging="360"/>
      </w:pPr>
      <w:rPr>
        <w:rFonts w:ascii="Noto Sans Symbols" w:cs="Noto Sans Symbols" w:eastAsia="Noto Sans Symbols" w:hAnsi="Noto Sans Symbols"/>
      </w:rPr>
    </w:lvl>
    <w:lvl w:ilvl="1">
      <w:start w:val="1"/>
      <w:numFmt w:val="bullet"/>
      <w:lvlText w:val="o"/>
      <w:lvlJc w:val="left"/>
      <w:pPr>
        <w:ind w:left="1097" w:hanging="360.0000000000001"/>
      </w:pPr>
      <w:rPr>
        <w:rFonts w:ascii="Courier New" w:cs="Courier New" w:eastAsia="Courier New" w:hAnsi="Courier New"/>
      </w:rPr>
    </w:lvl>
    <w:lvl w:ilvl="2">
      <w:start w:val="1"/>
      <w:numFmt w:val="bullet"/>
      <w:lvlText w:val="▪"/>
      <w:lvlJc w:val="left"/>
      <w:pPr>
        <w:ind w:left="1817" w:hanging="360"/>
      </w:pPr>
      <w:rPr>
        <w:rFonts w:ascii="Noto Sans Symbols" w:cs="Noto Sans Symbols" w:eastAsia="Noto Sans Symbols" w:hAnsi="Noto Sans Symbols"/>
      </w:rPr>
    </w:lvl>
    <w:lvl w:ilvl="3">
      <w:start w:val="1"/>
      <w:numFmt w:val="bullet"/>
      <w:lvlText w:val="●"/>
      <w:lvlJc w:val="left"/>
      <w:pPr>
        <w:ind w:left="2537" w:hanging="360"/>
      </w:pPr>
      <w:rPr>
        <w:rFonts w:ascii="Noto Sans Symbols" w:cs="Noto Sans Symbols" w:eastAsia="Noto Sans Symbols" w:hAnsi="Noto Sans Symbols"/>
      </w:rPr>
    </w:lvl>
    <w:lvl w:ilvl="4">
      <w:start w:val="1"/>
      <w:numFmt w:val="bullet"/>
      <w:lvlText w:val="o"/>
      <w:lvlJc w:val="left"/>
      <w:pPr>
        <w:ind w:left="3257" w:hanging="360"/>
      </w:pPr>
      <w:rPr>
        <w:rFonts w:ascii="Courier New" w:cs="Courier New" w:eastAsia="Courier New" w:hAnsi="Courier New"/>
      </w:rPr>
    </w:lvl>
    <w:lvl w:ilvl="5">
      <w:start w:val="1"/>
      <w:numFmt w:val="bullet"/>
      <w:lvlText w:val="▪"/>
      <w:lvlJc w:val="left"/>
      <w:pPr>
        <w:ind w:left="3977" w:hanging="360"/>
      </w:pPr>
      <w:rPr>
        <w:rFonts w:ascii="Noto Sans Symbols" w:cs="Noto Sans Symbols" w:eastAsia="Noto Sans Symbols" w:hAnsi="Noto Sans Symbols"/>
      </w:rPr>
    </w:lvl>
    <w:lvl w:ilvl="6">
      <w:start w:val="1"/>
      <w:numFmt w:val="bullet"/>
      <w:lvlText w:val="●"/>
      <w:lvlJc w:val="left"/>
      <w:pPr>
        <w:ind w:left="4697" w:hanging="360"/>
      </w:pPr>
      <w:rPr>
        <w:rFonts w:ascii="Noto Sans Symbols" w:cs="Noto Sans Symbols" w:eastAsia="Noto Sans Symbols" w:hAnsi="Noto Sans Symbols"/>
      </w:rPr>
    </w:lvl>
    <w:lvl w:ilvl="7">
      <w:start w:val="1"/>
      <w:numFmt w:val="bullet"/>
      <w:lvlText w:val="o"/>
      <w:lvlJc w:val="left"/>
      <w:pPr>
        <w:ind w:left="5417" w:hanging="360"/>
      </w:pPr>
      <w:rPr>
        <w:rFonts w:ascii="Courier New" w:cs="Courier New" w:eastAsia="Courier New" w:hAnsi="Courier New"/>
      </w:rPr>
    </w:lvl>
    <w:lvl w:ilvl="8">
      <w:start w:val="1"/>
      <w:numFmt w:val="bullet"/>
      <w:lvlText w:val="▪"/>
      <w:lvlJc w:val="left"/>
      <w:pPr>
        <w:ind w:left="613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h/LJrf62tw9dQWSX4ZMn1xE3Fg==">CgMxLjAaHgoBMBIZChcICVITChF0YWJsZS45cGV5d2hzczdjaBoeCgExEhkKFwgJUhMKEXRhYmxlLm8wMmJwOGpscm9xMg5oLnRjbjc3cXZzd3AwZjgAciExYjVCdHRQZmw3NGZRMzlqanAzUHA3Z2tYZFV4NEY2YXA=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